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1F3864"/>
          <w:sz w:val="40"/>
          <w:szCs w:val="40"/>
        </w:rPr>
        <w:t xml:space="preserve">KASHYAP PATEL, MD</w:t>
      </w:r>
    </w:p>
    <w:p>
      <w:pPr>
        <w:spacing w:after="120"/>
        <w:jc w:val="center"/>
      </w:pPr>
      <w:r>
        <w:rPr>
          <w:rFonts w:ascii="Calibri" w:cs="Calibri" w:eastAsia="Calibri" w:hAnsi="Calibri"/>
          <w:color w:val="44546A"/>
          <w:sz w:val="21"/>
          <w:szCs w:val="21"/>
        </w:rPr>
        <w:t xml:space="preserve">Board-Certified Neurologist  |  Clinical Neurophysiologist  |  Independent Medical Examiner &amp; Forensic Record Reviewer</w:t>
      </w:r>
    </w:p>
    <w:p>
      <w:pPr>
        <w:pBdr>
          <w:bottom w:val="single" w:color="BFBFBF" w:sz="6" w:space="6"/>
        </w:pBdr>
        <w:spacing w:after="60"/>
        <w:jc w:val="center"/>
      </w:pPr>
      <w:r>
        <w:rPr>
          <w:rFonts w:ascii="Calibri" w:cs="Calibri" w:eastAsia="Calibri" w:hAnsi="Calibri"/>
          <w:color w:val="44546A"/>
          <w:sz w:val="19"/>
          <w:szCs w:val="19"/>
        </w:rPr>
        <w:t xml:space="preserve">Statesboro, GA  |  kashyap0101@gmail.com  |  East Georgia Neurology and Neurodiagnostics</w:t>
      </w:r>
    </w:p>
    <w:p>
      <w:pPr>
        <w:pBdr>
          <w:bottom w:val="single" w:color="1F3864" w:sz="8" w:space="2"/>
        </w:pBdr>
        <w:spacing w:after="100" w:before="280"/>
      </w:pPr>
      <w:r>
        <w:rPr>
          <w:rFonts w:ascii="Calibri" w:cs="Calibri" w:eastAsia="Calibri" w:hAnsi="Calibri"/>
          <w:b/>
          <w:bCs/>
          <w:color w:val="1F3864"/>
          <w:sz w:val="21"/>
          <w:szCs w:val="21"/>
        </w:rPr>
        <w:t xml:space="preserve">PROFESSIONAL SUMMARY</w:t>
      </w:r>
    </w:p>
    <w:p>
      <w:pPr>
        <w:spacing w:after="60"/>
      </w:pPr>
      <w:r>
        <w:rPr>
          <w:rFonts w:ascii="Calibri" w:cs="Calibri" w:eastAsia="Calibri" w:hAnsi="Calibri"/>
          <w:sz w:val="21"/>
          <w:szCs w:val="21"/>
        </w:rPr>
        <w:t xml:space="preserve">Board-certified neurologist with dual subspecialty certification in Clinical Neurophysiology, in active clinical practice since 2010. Extensive experience performing independent medical examinations and forensic medical record reviews across workers' compensation, personal injury, disability/SSDI, peer review, and record-only assignments, with deposition and trial testimony experience. Combines full-time clinical neurology practice with EMG/NCS, EEG, video EEG, and Botox procedural expertise, providing referral sources with opinions grounded in active, current patient care rather than a purely forensic practice.</w:t>
      </w:r>
    </w:p>
    <w:p>
      <w:pPr>
        <w:pBdr>
          <w:bottom w:val="single" w:color="1F3864" w:sz="8" w:space="2"/>
        </w:pBdr>
        <w:spacing w:after="100" w:before="280"/>
      </w:pPr>
      <w:r>
        <w:rPr>
          <w:rFonts w:ascii="Calibri" w:cs="Calibri" w:eastAsia="Calibri" w:hAnsi="Calibri"/>
          <w:b/>
          <w:bCs/>
          <w:color w:val="1F3864"/>
          <w:sz w:val="21"/>
          <w:szCs w:val="21"/>
        </w:rPr>
        <w:t xml:space="preserve">INDEPENDENT MEDICAL EXAMINATION &amp; FORENSIC EXPERIENCE</w:t>
      </w:r>
    </w:p>
    <w:p>
      <w:pPr>
        <w:pStyle w:val="ListParagraph"/>
        <w:numPr>
          <w:ilvl w:val="0"/>
          <w:numId w:val="2"/>
        </w:numPr>
        <w:spacing w:after="40"/>
      </w:pPr>
      <w:r>
        <w:rPr>
          <w:rFonts w:ascii="Calibri" w:cs="Calibri" w:eastAsia="Calibri" w:hAnsi="Calibri"/>
          <w:sz w:val="21"/>
          <w:szCs w:val="21"/>
        </w:rPr>
        <w:t xml:space="preserve">Approximately 25–100 independent medical examinations and medical record reviews completed to date</w:t>
      </w:r>
    </w:p>
    <w:p>
      <w:pPr>
        <w:pStyle w:val="ListParagraph"/>
        <w:numPr>
          <w:ilvl w:val="0"/>
          <w:numId w:val="2"/>
        </w:numPr>
        <w:spacing w:after="40"/>
      </w:pPr>
      <w:r>
        <w:rPr>
          <w:rFonts w:ascii="Calibri" w:cs="Calibri" w:eastAsia="Calibri" w:hAnsi="Calibri"/>
          <w:sz w:val="21"/>
          <w:szCs w:val="21"/>
        </w:rPr>
        <w:t xml:space="preserve">Case types: workers' compensation, personal injury, disability/SSDI, peer review (second opinion), and record-only reviews</w:t>
      </w:r>
    </w:p>
    <w:p>
      <w:pPr>
        <w:pStyle w:val="ListParagraph"/>
        <w:numPr>
          <w:ilvl w:val="0"/>
          <w:numId w:val="2"/>
        </w:numPr>
        <w:spacing w:after="40"/>
      </w:pPr>
      <w:r>
        <w:rPr>
          <w:rFonts w:ascii="Calibri" w:cs="Calibri" w:eastAsia="Calibri" w:hAnsi="Calibri"/>
          <w:sz w:val="21"/>
          <w:szCs w:val="21"/>
        </w:rPr>
        <w:t xml:space="preserve">Testimony experience: deposition and trial testimony</w:t>
      </w:r>
    </w:p>
    <w:p>
      <w:pPr>
        <w:pStyle w:val="ListParagraph"/>
        <w:numPr>
          <w:ilvl w:val="0"/>
          <w:numId w:val="2"/>
        </w:numPr>
        <w:spacing w:after="40"/>
      </w:pPr>
      <w:r>
        <w:rPr>
          <w:rFonts w:ascii="Calibri" w:cs="Calibri" w:eastAsia="Calibri" w:hAnsi="Calibri"/>
          <w:sz w:val="21"/>
          <w:szCs w:val="21"/>
        </w:rPr>
        <w:t xml:space="preserve">Comprehensive neurologic and neurophysiologic evaluation, including correlation of exam findings with EMG/NCS, EEG, and imaging studies</w:t>
      </w:r>
    </w:p>
    <w:p>
      <w:pPr>
        <w:pStyle w:val="ListParagraph"/>
        <w:numPr>
          <w:ilvl w:val="0"/>
          <w:numId w:val="2"/>
        </w:numPr>
        <w:spacing w:after="40"/>
      </w:pPr>
      <w:r>
        <w:rPr>
          <w:rFonts w:ascii="Calibri" w:cs="Calibri" w:eastAsia="Calibri" w:hAnsi="Calibri"/>
          <w:sz w:val="21"/>
          <w:szCs w:val="21"/>
        </w:rPr>
        <w:t xml:space="preserve">Available for retaining attorneys, insurers, third-party administrators, and self-represented individuals</w:t>
      </w:r>
    </w:p>
    <w:p>
      <w:pPr>
        <w:pBdr>
          <w:bottom w:val="single" w:color="1F3864" w:sz="8" w:space="2"/>
        </w:pBdr>
        <w:spacing w:after="100" w:before="280"/>
      </w:pPr>
      <w:r>
        <w:rPr>
          <w:rFonts w:ascii="Calibri" w:cs="Calibri" w:eastAsia="Calibri" w:hAnsi="Calibri"/>
          <w:b/>
          <w:bCs/>
          <w:color w:val="1F3864"/>
          <w:sz w:val="21"/>
          <w:szCs w:val="21"/>
        </w:rPr>
        <w:t xml:space="preserve">LICENSURE &amp; BOARD CERTIFICATIONS</w:t>
      </w:r>
    </w:p>
    <w:p>
      <w:pPr>
        <w:pStyle w:val="ListParagraph"/>
        <w:numPr>
          <w:ilvl w:val="0"/>
          <w:numId w:val="2"/>
        </w:numPr>
        <w:spacing w:after="40"/>
      </w:pPr>
      <w:r>
        <w:rPr>
          <w:rFonts w:ascii="Calibri" w:cs="Calibri" w:eastAsia="Calibri" w:hAnsi="Calibri"/>
          <w:sz w:val="21"/>
          <w:szCs w:val="21"/>
        </w:rPr>
        <w:t xml:space="preserve">American Board of Psychiatry and Neurology – Neurology (2014–current)</w:t>
      </w:r>
    </w:p>
    <w:p>
      <w:pPr>
        <w:pStyle w:val="ListParagraph"/>
        <w:numPr>
          <w:ilvl w:val="0"/>
          <w:numId w:val="2"/>
        </w:numPr>
        <w:spacing w:after="40"/>
      </w:pPr>
      <w:r>
        <w:rPr>
          <w:rFonts w:ascii="Calibri" w:cs="Calibri" w:eastAsia="Calibri" w:hAnsi="Calibri"/>
          <w:sz w:val="21"/>
          <w:szCs w:val="21"/>
        </w:rPr>
        <w:t xml:space="preserve">American Board of Clinical Neurophysiology (2015–current)</w:t>
      </w:r>
    </w:p>
    <w:p>
      <w:pPr>
        <w:pStyle w:val="ListParagraph"/>
        <w:numPr>
          <w:ilvl w:val="0"/>
          <w:numId w:val="2"/>
        </w:numPr>
        <w:spacing w:after="40"/>
      </w:pPr>
      <w:r>
        <w:rPr>
          <w:rFonts w:ascii="Calibri" w:cs="Calibri" w:eastAsia="Calibri" w:hAnsi="Calibri"/>
          <w:sz w:val="21"/>
          <w:szCs w:val="21"/>
        </w:rPr>
        <w:t xml:space="preserve">American Board of Internal Medicine (2006–2023)</w:t>
      </w:r>
    </w:p>
    <w:p>
      <w:pPr>
        <w:pStyle w:val="ListParagraph"/>
        <w:numPr>
          <w:ilvl w:val="0"/>
          <w:numId w:val="2"/>
        </w:numPr>
        <w:spacing w:after="40"/>
      </w:pPr>
      <w:r>
        <w:rPr>
          <w:rFonts w:ascii="Calibri" w:cs="Calibri" w:eastAsia="Calibri" w:hAnsi="Calibri"/>
          <w:sz w:val="21"/>
          <w:szCs w:val="21"/>
        </w:rPr>
        <w:t xml:space="preserve">Georgia Medical License, active</w:t>
      </w:r>
    </w:p>
    <w:p>
      <w:pPr>
        <w:pStyle w:val="ListParagraph"/>
        <w:numPr>
          <w:ilvl w:val="0"/>
          <w:numId w:val="2"/>
        </w:numPr>
        <w:spacing w:after="40"/>
      </w:pPr>
      <w:r>
        <w:rPr>
          <w:rFonts w:ascii="Calibri" w:cs="Calibri" w:eastAsia="Calibri" w:hAnsi="Calibri"/>
          <w:sz w:val="21"/>
          <w:szCs w:val="21"/>
        </w:rPr>
        <w:t xml:space="preserve">Florida Medical License, active</w:t>
      </w:r>
    </w:p>
    <w:p>
      <w:pPr>
        <w:pStyle w:val="ListParagraph"/>
        <w:numPr>
          <w:ilvl w:val="0"/>
          <w:numId w:val="2"/>
        </w:numPr>
        <w:spacing w:after="40"/>
      </w:pPr>
      <w:r>
        <w:rPr>
          <w:rFonts w:ascii="Calibri" w:cs="Calibri" w:eastAsia="Calibri" w:hAnsi="Calibri"/>
          <w:sz w:val="21"/>
          <w:szCs w:val="21"/>
        </w:rPr>
        <w:t xml:space="preserve">DEA License, active</w:t>
      </w:r>
    </w:p>
    <w:p>
      <w:pPr>
        <w:pStyle w:val="ListParagraph"/>
        <w:numPr>
          <w:ilvl w:val="0"/>
          <w:numId w:val="2"/>
        </w:numPr>
        <w:spacing w:after="40"/>
      </w:pPr>
      <w:r>
        <w:rPr>
          <w:rFonts w:ascii="Calibri" w:cs="Calibri" w:eastAsia="Calibri" w:hAnsi="Calibri"/>
          <w:sz w:val="21"/>
          <w:szCs w:val="21"/>
        </w:rPr>
        <w:t xml:space="preserve">NIH Stroke Scale Certification; IV tPA (thrombolysis) certified</w:t>
      </w:r>
    </w:p>
    <w:p>
      <w:pPr>
        <w:pStyle w:val="ListParagraph"/>
        <w:numPr>
          <w:ilvl w:val="0"/>
          <w:numId w:val="2"/>
        </w:numPr>
        <w:spacing w:after="40"/>
      </w:pPr>
      <w:r>
        <w:rPr>
          <w:rFonts w:ascii="Calibri" w:cs="Calibri" w:eastAsia="Calibri" w:hAnsi="Calibri"/>
          <w:sz w:val="21"/>
          <w:szCs w:val="21"/>
        </w:rPr>
        <w:t xml:space="preserve">BLS/ACLS Certification, American Heart Association</w:t>
      </w:r>
    </w:p>
    <w:p>
      <w:pPr>
        <w:pBdr>
          <w:bottom w:val="single" w:color="1F3864" w:sz="8" w:space="2"/>
        </w:pBdr>
        <w:spacing w:after="100" w:before="280"/>
      </w:pPr>
      <w:r>
        <w:rPr>
          <w:rFonts w:ascii="Calibri" w:cs="Calibri" w:eastAsia="Calibri" w:hAnsi="Calibri"/>
          <w:b/>
          <w:bCs/>
          <w:color w:val="1F3864"/>
          <w:sz w:val="21"/>
          <w:szCs w:val="21"/>
        </w:rPr>
        <w:t xml:space="preserve">CLINICAL EXPERIENCE</w:t>
      </w:r>
    </w:p>
    <w:p>
      <w:pPr>
        <w:tabs>
          <w:tab w:val="right" w:pos="9360"/>
        </w:tabs>
        <w:spacing w:after="20"/>
      </w:pPr>
      <w:r>
        <w:rPr>
          <w:rFonts w:ascii="Calibri" w:cs="Calibri" w:eastAsia="Calibri" w:hAnsi="Calibri"/>
          <w:b/>
          <w:bCs/>
          <w:color w:val="1A1A1A"/>
          <w:sz w:val="21"/>
          <w:szCs w:val="21"/>
        </w:rPr>
        <w:t xml:space="preserve">East Georgia Neurology and Neurodiagnostics — Statesboro, GA</w:t>
      </w:r>
      <w:r>
        <w:rPr>
          <w:rFonts w:ascii="Calibri" w:cs="Calibri" w:eastAsia="Calibri" w:hAnsi="Calibri"/>
          <w:i/>
          <w:iCs/>
          <w:color w:val="44546A"/>
          <w:sz w:val="20"/>
          <w:szCs w:val="20"/>
        </w:rPr>
        <w:t xml:space="preserve">	Aug 2010–Present</w:t>
      </w:r>
    </w:p>
    <w:p>
      <w:pPr>
        <w:spacing w:after="100"/>
      </w:pPr>
      <w:r>
        <w:rPr>
          <w:rFonts w:ascii="Calibri" w:cs="Calibri" w:eastAsia="Calibri" w:hAnsi="Calibri"/>
          <w:i/>
          <w:iCs/>
          <w:color w:val="44546A"/>
          <w:sz w:val="20"/>
          <w:szCs w:val="20"/>
        </w:rPr>
        <w:t xml:space="preserve">Attending Neurologist — general neurology, clinical neurophysiology, and headache/migraine management</w:t>
      </w:r>
    </w:p>
    <w:p>
      <w:pPr>
        <w:tabs>
          <w:tab w:val="right" w:pos="9360"/>
        </w:tabs>
        <w:spacing w:after="20"/>
      </w:pPr>
      <w:r>
        <w:rPr>
          <w:rFonts w:ascii="Calibri" w:cs="Calibri" w:eastAsia="Calibri" w:hAnsi="Calibri"/>
          <w:b/>
          <w:bCs/>
          <w:color w:val="1A1A1A"/>
          <w:sz w:val="21"/>
          <w:szCs w:val="21"/>
        </w:rPr>
        <w:t xml:space="preserve">Medical College of Georgia, Augusta, GA</w:t>
      </w:r>
      <w:r>
        <w:rPr>
          <w:rFonts w:ascii="Calibri" w:cs="Calibri" w:eastAsia="Calibri" w:hAnsi="Calibri"/>
          <w:i/>
          <w:iCs/>
          <w:color w:val="44546A"/>
          <w:sz w:val="20"/>
          <w:szCs w:val="20"/>
        </w:rPr>
        <w:t xml:space="preserve">	</w:t>
      </w:r>
    </w:p>
    <w:p>
      <w:pPr>
        <w:spacing w:after="100"/>
      </w:pPr>
      <w:r>
        <w:rPr>
          <w:rFonts w:ascii="Calibri" w:cs="Calibri" w:eastAsia="Calibri" w:hAnsi="Calibri"/>
          <w:i/>
          <w:iCs/>
          <w:color w:val="44546A"/>
          <w:sz w:val="20"/>
          <w:szCs w:val="20"/>
        </w:rPr>
        <w:t xml:space="preserve">Clinical Assistant Professor</w:t>
      </w:r>
    </w:p>
    <w:p>
      <w:pPr>
        <w:pBdr>
          <w:bottom w:val="single" w:color="1F3864" w:sz="8" w:space="2"/>
        </w:pBdr>
        <w:spacing w:after="100" w:before="280"/>
      </w:pPr>
      <w:r>
        <w:rPr>
          <w:rFonts w:ascii="Calibri" w:cs="Calibri" w:eastAsia="Calibri" w:hAnsi="Calibri"/>
          <w:b/>
          <w:bCs/>
          <w:color w:val="1F3864"/>
          <w:sz w:val="21"/>
          <w:szCs w:val="21"/>
        </w:rPr>
        <w:t xml:space="preserve">CLINICAL EDUCATION &amp; TRAINING</w:t>
      </w:r>
    </w:p>
    <w:p>
      <w:pPr>
        <w:tabs>
          <w:tab w:val="right" w:pos="9360"/>
        </w:tabs>
        <w:spacing w:after="20"/>
      </w:pPr>
      <w:r>
        <w:rPr>
          <w:rFonts w:ascii="Calibri" w:cs="Calibri" w:eastAsia="Calibri" w:hAnsi="Calibri"/>
          <w:b/>
          <w:bCs/>
          <w:color w:val="1A1A1A"/>
          <w:sz w:val="21"/>
          <w:szCs w:val="21"/>
        </w:rPr>
        <w:t xml:space="preserve">Clinical Neurophysiology Fellowship — Wake Forest University, Winston-Salem, NC</w:t>
      </w:r>
      <w:r>
        <w:rPr>
          <w:rFonts w:ascii="Calibri" w:cs="Calibri" w:eastAsia="Calibri" w:hAnsi="Calibri"/>
          <w:i/>
          <w:iCs/>
          <w:color w:val="44546A"/>
          <w:sz w:val="20"/>
          <w:szCs w:val="20"/>
        </w:rPr>
        <w:t xml:space="preserve">	2009–2010</w:t>
      </w:r>
    </w:p>
    <w:p>
      <w:pPr>
        <w:tabs>
          <w:tab w:val="right" w:pos="9360"/>
        </w:tabs>
        <w:spacing w:after="20"/>
      </w:pPr>
      <w:r>
        <w:rPr>
          <w:rFonts w:ascii="Calibri" w:cs="Calibri" w:eastAsia="Calibri" w:hAnsi="Calibri"/>
          <w:b/>
          <w:bCs/>
          <w:color w:val="1A1A1A"/>
          <w:sz w:val="21"/>
          <w:szCs w:val="21"/>
        </w:rPr>
        <w:t xml:space="preserve">Chief Neurology Resident — University of Florida, Jacksonville, FL</w:t>
      </w:r>
      <w:r>
        <w:rPr>
          <w:rFonts w:ascii="Calibri" w:cs="Calibri" w:eastAsia="Calibri" w:hAnsi="Calibri"/>
          <w:i/>
          <w:iCs/>
          <w:color w:val="44546A"/>
          <w:sz w:val="20"/>
          <w:szCs w:val="20"/>
        </w:rPr>
        <w:t xml:space="preserve">	2008–2009</w:t>
      </w:r>
    </w:p>
    <w:p>
      <w:pPr>
        <w:tabs>
          <w:tab w:val="right" w:pos="9360"/>
        </w:tabs>
        <w:spacing w:after="20"/>
      </w:pPr>
      <w:r>
        <w:rPr>
          <w:rFonts w:ascii="Calibri" w:cs="Calibri" w:eastAsia="Calibri" w:hAnsi="Calibri"/>
          <w:b/>
          <w:bCs/>
          <w:color w:val="1A1A1A"/>
          <w:sz w:val="21"/>
          <w:szCs w:val="21"/>
        </w:rPr>
        <w:t xml:space="preserve">Neurology Residency — University of Florida, Jacksonville, FL</w:t>
      </w:r>
      <w:r>
        <w:rPr>
          <w:rFonts w:ascii="Calibri" w:cs="Calibri" w:eastAsia="Calibri" w:hAnsi="Calibri"/>
          <w:i/>
          <w:iCs/>
          <w:color w:val="44546A"/>
          <w:sz w:val="20"/>
          <w:szCs w:val="20"/>
        </w:rPr>
        <w:t xml:space="preserve">	2006–2008</w:t>
      </w:r>
    </w:p>
    <w:p>
      <w:pPr>
        <w:tabs>
          <w:tab w:val="right" w:pos="9360"/>
        </w:tabs>
        <w:spacing w:after="20"/>
      </w:pPr>
      <w:r>
        <w:rPr>
          <w:rFonts w:ascii="Calibri" w:cs="Calibri" w:eastAsia="Calibri" w:hAnsi="Calibri"/>
          <w:b/>
          <w:bCs/>
          <w:color w:val="1A1A1A"/>
          <w:sz w:val="21"/>
          <w:szCs w:val="21"/>
        </w:rPr>
        <w:t xml:space="preserve">Internal Medicine Residency — Mount Sinai School of Medicine, Jersey City, NJ</w:t>
      </w:r>
      <w:r>
        <w:rPr>
          <w:rFonts w:ascii="Calibri" w:cs="Calibri" w:eastAsia="Calibri" w:hAnsi="Calibri"/>
          <w:i/>
          <w:iCs/>
          <w:color w:val="44546A"/>
          <w:sz w:val="20"/>
          <w:szCs w:val="20"/>
        </w:rPr>
        <w:t xml:space="preserve">	2004–2006</w:t>
      </w:r>
    </w:p>
    <w:p>
      <w:pPr>
        <w:tabs>
          <w:tab w:val="right" w:pos="9360"/>
        </w:tabs>
        <w:spacing w:after="20"/>
      </w:pPr>
      <w:r>
        <w:rPr>
          <w:rFonts w:ascii="Calibri" w:cs="Calibri" w:eastAsia="Calibri" w:hAnsi="Calibri"/>
          <w:b/>
          <w:bCs/>
          <w:color w:val="1A1A1A"/>
          <w:sz w:val="21"/>
          <w:szCs w:val="21"/>
        </w:rPr>
        <w:t xml:space="preserve">Internal Medicine Internship — Mount Sinai School of Medicine, Jersey City, NJ</w:t>
      </w:r>
      <w:r>
        <w:rPr>
          <w:rFonts w:ascii="Calibri" w:cs="Calibri" w:eastAsia="Calibri" w:hAnsi="Calibri"/>
          <w:i/>
          <w:iCs/>
          <w:color w:val="44546A"/>
          <w:sz w:val="20"/>
          <w:szCs w:val="20"/>
        </w:rPr>
        <w:t xml:space="preserve">	2003–2004</w:t>
      </w:r>
    </w:p>
    <w:p>
      <w:pPr>
        <w:tabs>
          <w:tab w:val="right" w:pos="9360"/>
        </w:tabs>
        <w:spacing w:after="20"/>
      </w:pPr>
      <w:r>
        <w:rPr>
          <w:rFonts w:ascii="Calibri" w:cs="Calibri" w:eastAsia="Calibri" w:hAnsi="Calibri"/>
          <w:b/>
          <w:bCs/>
          <w:color w:val="1A1A1A"/>
          <w:sz w:val="21"/>
          <w:szCs w:val="21"/>
        </w:rPr>
        <w:t xml:space="preserve">M.B.B.S. — Smt. N.H.L. Municipal Medical College, India</w:t>
      </w:r>
      <w:r>
        <w:rPr>
          <w:rFonts w:ascii="Calibri" w:cs="Calibri" w:eastAsia="Calibri" w:hAnsi="Calibri"/>
          <w:i/>
          <w:iCs/>
          <w:color w:val="44546A"/>
          <w:sz w:val="20"/>
          <w:szCs w:val="20"/>
        </w:rPr>
        <w:t xml:space="preserve">	1995–2001</w:t>
      </w:r>
    </w:p>
    <w:p>
      <w:pPr>
        <w:pBdr>
          <w:bottom w:val="single" w:color="1F3864" w:sz="8" w:space="2"/>
        </w:pBdr>
        <w:spacing w:after="100" w:before="280"/>
      </w:pPr>
      <w:r>
        <w:rPr>
          <w:rFonts w:ascii="Calibri" w:cs="Calibri" w:eastAsia="Calibri" w:hAnsi="Calibri"/>
          <w:b/>
          <w:bCs/>
          <w:color w:val="1F3864"/>
          <w:sz w:val="21"/>
          <w:szCs w:val="21"/>
        </w:rPr>
        <w:t xml:space="preserve">PROCEDURAL &amp; CLINICAL SKILLS</w:t>
      </w:r>
    </w:p>
    <w:p>
      <w:pPr>
        <w:pStyle w:val="ListParagraph"/>
        <w:numPr>
          <w:ilvl w:val="0"/>
          <w:numId w:val="2"/>
        </w:numPr>
        <w:spacing w:after="40"/>
      </w:pPr>
      <w:r>
        <w:rPr>
          <w:rFonts w:ascii="Calibri" w:cs="Calibri" w:eastAsia="Calibri" w:hAnsi="Calibri"/>
          <w:sz w:val="21"/>
          <w:szCs w:val="21"/>
        </w:rPr>
        <w:t xml:space="preserve">EMG / Nerve Conduction Studies (NCS)</w:t>
      </w:r>
    </w:p>
    <w:p>
      <w:pPr>
        <w:pStyle w:val="ListParagraph"/>
        <w:numPr>
          <w:ilvl w:val="0"/>
          <w:numId w:val="2"/>
        </w:numPr>
        <w:spacing w:after="40"/>
      </w:pPr>
      <w:r>
        <w:rPr>
          <w:rFonts w:ascii="Calibri" w:cs="Calibri" w:eastAsia="Calibri" w:hAnsi="Calibri"/>
          <w:sz w:val="21"/>
          <w:szCs w:val="21"/>
        </w:rPr>
        <w:t xml:space="preserve">EEG, Ambulatory EEG, Evoked Potentials, Deep Brain Stimulation (DBS) management</w:t>
      </w:r>
    </w:p>
    <w:p>
      <w:pPr>
        <w:pStyle w:val="ListParagraph"/>
        <w:numPr>
          <w:ilvl w:val="0"/>
          <w:numId w:val="2"/>
        </w:numPr>
        <w:spacing w:after="40"/>
      </w:pPr>
      <w:r>
        <w:rPr>
          <w:rFonts w:ascii="Calibri" w:cs="Calibri" w:eastAsia="Calibri" w:hAnsi="Calibri"/>
          <w:sz w:val="21"/>
          <w:szCs w:val="21"/>
        </w:rPr>
        <w:t xml:space="preserve">VNG, Autonomic Nervous System (ANS) testing</w:t>
      </w:r>
    </w:p>
    <w:p>
      <w:pPr>
        <w:pStyle w:val="ListParagraph"/>
        <w:numPr>
          <w:ilvl w:val="0"/>
          <w:numId w:val="2"/>
        </w:numPr>
        <w:spacing w:after="40"/>
      </w:pPr>
      <w:r>
        <w:rPr>
          <w:rFonts w:ascii="Calibri" w:cs="Calibri" w:eastAsia="Calibri" w:hAnsi="Calibri"/>
          <w:sz w:val="21"/>
          <w:szCs w:val="21"/>
        </w:rPr>
        <w:t xml:space="preserve">Ultrasound of nerve, muscle, and carotid; Transcranial Doppler (TCD)</w:t>
      </w:r>
    </w:p>
    <w:p>
      <w:pPr>
        <w:pStyle w:val="ListParagraph"/>
        <w:numPr>
          <w:ilvl w:val="0"/>
          <w:numId w:val="2"/>
        </w:numPr>
        <w:spacing w:after="40"/>
      </w:pPr>
      <w:r>
        <w:rPr>
          <w:rFonts w:ascii="Calibri" w:cs="Calibri" w:eastAsia="Calibri" w:hAnsi="Calibri"/>
          <w:sz w:val="21"/>
          <w:szCs w:val="21"/>
        </w:rPr>
        <w:t xml:space="preserve">Botox injection — dystonia, spasticity, chronic migraine</w:t>
      </w:r>
    </w:p>
    <w:p>
      <w:pPr>
        <w:pStyle w:val="ListParagraph"/>
        <w:numPr>
          <w:ilvl w:val="0"/>
          <w:numId w:val="2"/>
        </w:numPr>
        <w:spacing w:after="40"/>
      </w:pPr>
      <w:r>
        <w:rPr>
          <w:rFonts w:ascii="Calibri" w:cs="Calibri" w:eastAsia="Calibri" w:hAnsi="Calibri"/>
          <w:sz w:val="21"/>
          <w:szCs w:val="21"/>
        </w:rPr>
        <w:t xml:space="preserve">Trigger point injection; steroid injection for carpal tunnel syndrome</w:t>
      </w:r>
    </w:p>
    <w:p>
      <w:pPr>
        <w:pStyle w:val="ListParagraph"/>
        <w:numPr>
          <w:ilvl w:val="0"/>
          <w:numId w:val="2"/>
        </w:numPr>
        <w:spacing w:after="40"/>
      </w:pPr>
      <w:r>
        <w:rPr>
          <w:rFonts w:ascii="Calibri" w:cs="Calibri" w:eastAsia="Calibri" w:hAnsi="Calibri"/>
          <w:sz w:val="21"/>
          <w:szCs w:val="21"/>
        </w:rPr>
        <w:t xml:space="preserve">IV tPA administration for acute ischemic stroke</w:t>
      </w:r>
    </w:p>
    <w:p>
      <w:pPr>
        <w:pBdr>
          <w:bottom w:val="single" w:color="1F3864" w:sz="8" w:space="2"/>
        </w:pBdr>
        <w:spacing w:after="100" w:before="280"/>
      </w:pPr>
      <w:r>
        <w:rPr>
          <w:rFonts w:ascii="Calibri" w:cs="Calibri" w:eastAsia="Calibri" w:hAnsi="Calibri"/>
          <w:b/>
          <w:bCs/>
          <w:color w:val="1F3864"/>
          <w:sz w:val="21"/>
          <w:szCs w:val="21"/>
        </w:rPr>
        <w:t xml:space="preserve">RESEARCH &amp; PUBLICATIONS</w:t>
      </w:r>
    </w:p>
    <w:p>
      <w:pPr>
        <w:spacing w:after="60"/>
      </w:pPr>
      <w:r>
        <w:rPr>
          <w:rFonts w:ascii="Calibri" w:cs="Calibri" w:eastAsia="Calibri" w:hAnsi="Calibri"/>
          <w:i/>
          <w:iCs/>
          <w:sz w:val="21"/>
          <w:szCs w:val="21"/>
        </w:rPr>
        <w:t xml:space="preserve">Intravenous rTPA is considered safe by US vascular neurologists in patients with acute ischemic stroke due to internal carotid artery dissection. </w:t>
      </w:r>
      <w:r>
        <w:rPr>
          <w:rFonts w:ascii="Calibri" w:cs="Calibri" w:eastAsia="Calibri" w:hAnsi="Calibri"/>
          <w:sz w:val="21"/>
          <w:szCs w:val="21"/>
        </w:rPr>
        <w:t xml:space="preserve">Neurology 2007;68(suppl):392</w:t>
      </w:r>
    </w:p>
    <w:p>
      <w:pPr>
        <w:spacing w:after="100"/>
      </w:pPr>
      <w:r>
        <w:rPr>
          <w:rFonts w:ascii="Calibri" w:cs="Calibri" w:eastAsia="Calibri" w:hAnsi="Calibri"/>
          <w:i/>
          <w:iCs/>
          <w:color w:val="44546A"/>
          <w:sz w:val="20"/>
          <w:szCs w:val="20"/>
        </w:rPr>
        <w:t xml:space="preserve">Selected Abstracts — Florida Society of Neurology / Florida Neurology Residents Colloquium and Jersey City Medical Center Resident Research Day (2006–2008), covering topics including multiple myeloma and hemiparesis, neurodegenerative overlap syndrome, Guillain-Barré syndrome and anti-GQ1b, contrast-induced neurotoxicity in normal pressure hydrocephalus, and seizure-induced neurogenic pulmonary edema</w:t>
      </w:r>
    </w:p>
    <w:p>
      <w:pPr>
        <w:pBdr>
          <w:bottom w:val="single" w:color="1F3864" w:sz="8" w:space="2"/>
        </w:pBdr>
        <w:spacing w:after="100" w:before="280"/>
      </w:pPr>
      <w:r>
        <w:rPr>
          <w:rFonts w:ascii="Calibri" w:cs="Calibri" w:eastAsia="Calibri" w:hAnsi="Calibri"/>
          <w:b/>
          <w:bCs/>
          <w:color w:val="1F3864"/>
          <w:sz w:val="21"/>
          <w:szCs w:val="21"/>
        </w:rPr>
        <w:t xml:space="preserve">PRESENTATIONS &amp; COMMUNITY EDUCATION</w:t>
      </w:r>
    </w:p>
    <w:p>
      <w:pPr>
        <w:pStyle w:val="ListParagraph"/>
        <w:numPr>
          <w:ilvl w:val="0"/>
          <w:numId w:val="2"/>
        </w:numPr>
        <w:spacing w:after="40"/>
      </w:pPr>
      <w:r>
        <w:rPr>
          <w:rFonts w:ascii="Calibri" w:cs="Calibri" w:eastAsia="Calibri" w:hAnsi="Calibri"/>
          <w:sz w:val="21"/>
          <w:szCs w:val="21"/>
        </w:rPr>
        <w:t xml:space="preserve">Dementia awareness conference, Georgia Southern University (2014)</w:t>
      </w:r>
    </w:p>
    <w:p>
      <w:pPr>
        <w:pStyle w:val="ListParagraph"/>
        <w:numPr>
          <w:ilvl w:val="0"/>
          <w:numId w:val="2"/>
        </w:numPr>
        <w:spacing w:after="40"/>
      </w:pPr>
      <w:r>
        <w:rPr>
          <w:rFonts w:ascii="Calibri" w:cs="Calibri" w:eastAsia="Calibri" w:hAnsi="Calibri"/>
          <w:sz w:val="21"/>
          <w:szCs w:val="21"/>
        </w:rPr>
        <w:t xml:space="preserve">Multiple presentations to local Alzheimer's support groups; Willow Pond and Silver Lining Club, Statesboro</w:t>
      </w:r>
    </w:p>
    <w:p>
      <w:pPr>
        <w:pStyle w:val="ListParagraph"/>
        <w:numPr>
          <w:ilvl w:val="0"/>
          <w:numId w:val="2"/>
        </w:numPr>
        <w:spacing w:after="40"/>
      </w:pPr>
      <w:r>
        <w:rPr>
          <w:rFonts w:ascii="Calibri" w:cs="Calibri" w:eastAsia="Calibri" w:hAnsi="Calibri"/>
          <w:sz w:val="21"/>
          <w:szCs w:val="21"/>
        </w:rPr>
        <w:t xml:space="preserve">Stress-relief seminar series for dementia caregivers (since 2010)</w:t>
      </w:r>
    </w:p>
    <w:p>
      <w:pPr>
        <w:pBdr>
          <w:bottom w:val="single" w:color="1F3864" w:sz="8" w:space="2"/>
        </w:pBdr>
        <w:spacing w:after="100" w:before="280"/>
      </w:pPr>
      <w:r>
        <w:rPr>
          <w:rFonts w:ascii="Calibri" w:cs="Calibri" w:eastAsia="Calibri" w:hAnsi="Calibri"/>
          <w:b/>
          <w:bCs/>
          <w:color w:val="1F3864"/>
          <w:sz w:val="21"/>
          <w:szCs w:val="21"/>
        </w:rPr>
        <w:t xml:space="preserve">LEADERSHIP &amp; COMMITTEE SERVICE</w:t>
      </w:r>
    </w:p>
    <w:p>
      <w:pPr>
        <w:pStyle w:val="ListParagraph"/>
        <w:numPr>
          <w:ilvl w:val="0"/>
          <w:numId w:val="2"/>
        </w:numPr>
        <w:spacing w:after="40"/>
      </w:pPr>
      <w:r>
        <w:rPr>
          <w:rFonts w:ascii="Calibri" w:cs="Calibri" w:eastAsia="Calibri" w:hAnsi="Calibri"/>
          <w:sz w:val="21"/>
          <w:szCs w:val="21"/>
        </w:rPr>
        <w:t xml:space="preserve">President, East Georgia Physician Group (2021)</w:t>
      </w:r>
    </w:p>
    <w:p>
      <w:pPr>
        <w:pStyle w:val="ListParagraph"/>
        <w:numPr>
          <w:ilvl w:val="0"/>
          <w:numId w:val="2"/>
        </w:numPr>
        <w:spacing w:after="40"/>
      </w:pPr>
      <w:r>
        <w:rPr>
          <w:rFonts w:ascii="Calibri" w:cs="Calibri" w:eastAsia="Calibri" w:hAnsi="Calibri"/>
          <w:sz w:val="21"/>
          <w:szCs w:val="21"/>
        </w:rPr>
        <w:t xml:space="preserve">Vice President, East Georgia Physician Group (2024)</w:t>
      </w:r>
    </w:p>
    <w:p>
      <w:pPr>
        <w:pStyle w:val="ListParagraph"/>
        <w:numPr>
          <w:ilvl w:val="0"/>
          <w:numId w:val="2"/>
        </w:numPr>
        <w:spacing w:after="40"/>
      </w:pPr>
      <w:r>
        <w:rPr>
          <w:rFonts w:ascii="Calibri" w:cs="Calibri" w:eastAsia="Calibri" w:hAnsi="Calibri"/>
          <w:sz w:val="21"/>
          <w:szCs w:val="21"/>
        </w:rPr>
        <w:t xml:space="preserve">Board Member, East Georgia Physician Group (2017–present)</w:t>
      </w:r>
    </w:p>
    <w:p>
      <w:pPr>
        <w:pStyle w:val="ListParagraph"/>
        <w:numPr>
          <w:ilvl w:val="0"/>
          <w:numId w:val="2"/>
        </w:numPr>
        <w:spacing w:after="40"/>
      </w:pPr>
      <w:r>
        <w:rPr>
          <w:rFonts w:ascii="Calibri" w:cs="Calibri" w:eastAsia="Calibri" w:hAnsi="Calibri"/>
          <w:sz w:val="21"/>
          <w:szCs w:val="21"/>
        </w:rPr>
        <w:t xml:space="preserve">Board Secretary, East Georgia Physician Group (2017–2020)</w:t>
      </w:r>
    </w:p>
    <w:p>
      <w:pPr>
        <w:pStyle w:val="ListParagraph"/>
        <w:numPr>
          <w:ilvl w:val="0"/>
          <w:numId w:val="2"/>
        </w:numPr>
        <w:spacing w:after="40"/>
      </w:pPr>
      <w:r>
        <w:rPr>
          <w:rFonts w:ascii="Calibri" w:cs="Calibri" w:eastAsia="Calibri" w:hAnsi="Calibri"/>
          <w:sz w:val="21"/>
          <w:szCs w:val="21"/>
        </w:rPr>
        <w:t xml:space="preserve">Board of Trustees, EGRMC (2014) and CASA (2014)</w:t>
      </w:r>
    </w:p>
    <w:p>
      <w:pPr>
        <w:pStyle w:val="ListParagraph"/>
        <w:numPr>
          <w:ilvl w:val="0"/>
          <w:numId w:val="2"/>
        </w:numPr>
        <w:spacing w:after="40"/>
      </w:pPr>
      <w:r>
        <w:rPr>
          <w:rFonts w:ascii="Calibri" w:cs="Calibri" w:eastAsia="Calibri" w:hAnsi="Calibri"/>
          <w:sz w:val="21"/>
          <w:szCs w:val="21"/>
        </w:rPr>
        <w:t xml:space="preserve">Ethics Committee, EGRMC (2012); Utilization Review Committee (2015)</w:t>
      </w:r>
    </w:p>
    <w:p>
      <w:pPr>
        <w:pBdr>
          <w:bottom w:val="single" w:color="1F3864" w:sz="8" w:space="2"/>
        </w:pBdr>
        <w:spacing w:after="100" w:before="280"/>
      </w:pPr>
      <w:r>
        <w:rPr>
          <w:rFonts w:ascii="Calibri" w:cs="Calibri" w:eastAsia="Calibri" w:hAnsi="Calibri"/>
          <w:b/>
          <w:bCs/>
          <w:color w:val="1F3864"/>
          <w:sz w:val="21"/>
          <w:szCs w:val="21"/>
        </w:rPr>
        <w:t xml:space="preserve">HONORS &amp; AWARDS</w:t>
      </w:r>
    </w:p>
    <w:p>
      <w:pPr>
        <w:pStyle w:val="ListParagraph"/>
        <w:numPr>
          <w:ilvl w:val="0"/>
          <w:numId w:val="2"/>
        </w:numPr>
        <w:spacing w:after="40"/>
      </w:pPr>
      <w:r>
        <w:rPr>
          <w:rFonts w:ascii="Calibri" w:cs="Calibri" w:eastAsia="Calibri" w:hAnsi="Calibri"/>
          <w:sz w:val="21"/>
          <w:szCs w:val="21"/>
        </w:rPr>
        <w:t xml:space="preserve">Appreciation Award, University of Florida, Jacksonville (2008)</w:t>
      </w:r>
    </w:p>
    <w:p>
      <w:pPr>
        <w:pStyle w:val="ListParagraph"/>
        <w:numPr>
          <w:ilvl w:val="0"/>
          <w:numId w:val="2"/>
        </w:numPr>
        <w:spacing w:after="40"/>
      </w:pPr>
      <w:r>
        <w:rPr>
          <w:rFonts w:ascii="Calibri" w:cs="Calibri" w:eastAsia="Calibri" w:hAnsi="Calibri"/>
          <w:sz w:val="21"/>
          <w:szCs w:val="21"/>
        </w:rPr>
        <w:t xml:space="preserve">Florida Society of Neurology Travel Award (2007)</w:t>
      </w:r>
    </w:p>
    <w:p>
      <w:pPr>
        <w:pStyle w:val="ListParagraph"/>
        <w:numPr>
          <w:ilvl w:val="0"/>
          <w:numId w:val="2"/>
        </w:numPr>
        <w:spacing w:after="40"/>
      </w:pPr>
      <w:r>
        <w:rPr>
          <w:rFonts w:ascii="Calibri" w:cs="Calibri" w:eastAsia="Calibri" w:hAnsi="Calibri"/>
          <w:sz w:val="21"/>
          <w:szCs w:val="21"/>
        </w:rPr>
        <w:t xml:space="preserve">Georgia Society of Neurology Travel Award (2007)</w:t>
      </w:r>
    </w:p>
    <w:p>
      <w:pPr>
        <w:pStyle w:val="ListParagraph"/>
        <w:numPr>
          <w:ilvl w:val="0"/>
          <w:numId w:val="2"/>
        </w:numPr>
        <w:spacing w:after="40"/>
      </w:pPr>
      <w:r>
        <w:rPr>
          <w:rFonts w:ascii="Calibri" w:cs="Calibri" w:eastAsia="Calibri" w:hAnsi="Calibri"/>
          <w:sz w:val="21"/>
          <w:szCs w:val="21"/>
        </w:rPr>
        <w:t xml:space="preserve">1st Prize, Neurology Jeopardy, University of Florida, Jacksonville (2007)</w:t>
      </w:r>
    </w:p>
    <w:p>
      <w:pPr>
        <w:pStyle w:val="ListParagraph"/>
        <w:numPr>
          <w:ilvl w:val="0"/>
          <w:numId w:val="2"/>
        </w:numPr>
        <w:spacing w:after="40"/>
      </w:pPr>
      <w:r>
        <w:rPr>
          <w:rFonts w:ascii="Calibri" w:cs="Calibri" w:eastAsia="Calibri" w:hAnsi="Calibri"/>
          <w:sz w:val="21"/>
          <w:szCs w:val="21"/>
        </w:rPr>
        <w:t xml:space="preserve">1st Prize, Poster and Platform Presentation, Resident Research Day, Jersey City, NJ (2006)</w:t>
      </w:r>
    </w:p>
    <w:sectPr>
      <w:pgSz w:w="12240" w:h="15840" w:orient="portrait"/>
      <w:pgMar w:top="620" w:right="720" w:bottom="6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2026-07-08T18:33:01.033Z</dcterms:created>
  <dcterms:modified xsi:type="dcterms:W3CDTF">2026-07-08T18:33:01.033Z</dcterms:modified>
</cp:coreProperties>
</file>

<file path=docProps/custom.xml><?xml version="1.0" encoding="utf-8"?>
<Properties xmlns="http://schemas.openxmlformats.org/officeDocument/2006/custom-properties" xmlns:vt="http://schemas.openxmlformats.org/officeDocument/2006/docPropsVTypes"/>
</file>