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Aptos" w:hAnsi="Aptos" w:eastAsia="Aptos"/>
          <w:b/>
          <w:color w:val="1F4E79"/>
          <w:sz w:val="38"/>
        </w:rPr>
        <w:t>Daniel V. Johnson, DDS, MPH, CPH, FICOI</w:t>
      </w:r>
    </w:p>
    <w:p>
      <w:pPr>
        <w:spacing w:after="40"/>
        <w:jc w:val="center"/>
      </w:pPr>
      <w:r>
        <w:rPr>
          <w:rFonts w:ascii="Aptos" w:hAnsi="Aptos" w:eastAsia="Aptos"/>
          <w:b/>
          <w:color w:val="1F1F1F"/>
          <w:sz w:val="19"/>
        </w:rPr>
        <w:t>General Dentist | Practice Owner | Implant Dentistry | Expert Witness | Dental QA | Public Health</w:t>
      </w:r>
    </w:p>
    <w:p>
      <w:pPr>
        <w:spacing w:after="120"/>
        <w:jc w:val="center"/>
        <w:pBdr>
          <w:bottom w:val="single" w:sz="4" w:space="3" w:color="D9E2EC"/>
        </w:pBdr>
      </w:pPr>
      <w:r>
        <w:rPr>
          <w:rFonts w:ascii="Aptos" w:hAnsi="Aptos" w:eastAsia="Aptos"/>
          <w:color w:val="666666"/>
          <w:sz w:val="17"/>
        </w:rPr>
        <w:t>Inver Grove Heights, Minnesota | (701) 238-4306 | johnsdv@gmail.com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PROFESSIONAL PROFILE</w:t>
      </w:r>
    </w:p>
    <w:p>
      <w:pPr>
        <w:spacing w:after="100" w:line="252" w:lineRule="auto"/>
      </w:pPr>
      <w:r>
        <w:rPr>
          <w:rFonts w:ascii="Aptos" w:hAnsi="Aptos" w:eastAsia="Aptos"/>
          <w:color w:val="1F1F1F"/>
          <w:sz w:val="18"/>
        </w:rPr>
        <w:t>Practicing general dentist, practice owner, educator, and public-health-trained clinician with experience across comprehensive general dentistry, implant dentistry, prosthetics, removable prosthetics, surgical extractions, dental quality assurance, and clinical education. Combines chairside judgment, board-level practice leadership, Navy training, and an MPH/CPH background to evaluate dental records, treatment planning, informed consent, patient communication, documentation, and standards of care. Brings a practical, real-world general dentist perspective to expert witness review, clinical advisory work, dental workflows, and provider education.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13"/>
        <w:gridCol w:w="2613"/>
        <w:gridCol w:w="2613"/>
        <w:gridCol w:w="2613"/>
      </w:tblGrid>
      <w:tr>
        <w:tc>
          <w:tcPr>
            <w:tcW w:type="dxa" w:w="2592"/>
            <w:shd w:fill="EAF2F8"/>
            <w:vAlign w:val="center"/>
            <w:tcBorders>
              <w:top w:sz="8" w:val="single" w:color="FFFFFF"/>
              <w:bottom w:sz="8" w:val="single" w:color="FFFFFF"/>
              <w:left w:sz="8" w:val="single" w:color="FFFFFF"/>
              <w:right w:sz="8" w:val="single" w:color="FFFFFF"/>
            </w:tcBorders>
          </w:tcPr>
          <w:p>
            <w:pPr>
              <w:spacing w:after="0"/>
              <w:jc w:val="center"/>
            </w:pPr>
            <w:r>
              <w:rPr>
                <w:rFonts w:ascii="Aptos" w:hAnsi="Aptos" w:eastAsia="Aptos"/>
                <w:b/>
                <w:color w:val="1F4E79"/>
                <w:sz w:val="17"/>
              </w:rPr>
              <w:t>Practice Owner</w:t>
              <w:br/>
            </w:r>
            <w:r>
              <w:rPr>
                <w:rFonts w:ascii="Aptos" w:hAnsi="Aptos" w:eastAsia="Aptos"/>
                <w:color w:val="1F1F1F"/>
                <w:sz w:val="15"/>
              </w:rPr>
              <w:t>Voting board member; 50+ employee organization</w:t>
            </w:r>
          </w:p>
        </w:tc>
        <w:tc>
          <w:tcPr>
            <w:tcW w:type="dxa" w:w="2592"/>
            <w:shd w:fill="EAF2F8"/>
            <w:vAlign w:val="center"/>
            <w:tcBorders>
              <w:top w:sz="8" w:val="single" w:color="FFFFFF"/>
              <w:bottom w:sz="8" w:val="single" w:color="FFFFFF"/>
              <w:left w:sz="8" w:val="single" w:color="FFFFFF"/>
              <w:right w:sz="8" w:val="single" w:color="FFFFFF"/>
            </w:tcBorders>
          </w:tcPr>
          <w:p>
            <w:pPr>
              <w:spacing w:after="0"/>
              <w:jc w:val="center"/>
            </w:pPr>
            <w:r>
              <w:rPr>
                <w:rFonts w:ascii="Aptos" w:hAnsi="Aptos" w:eastAsia="Aptos"/>
                <w:b/>
                <w:color w:val="1F4E79"/>
                <w:sz w:val="17"/>
              </w:rPr>
              <w:t>Implant Focus</w:t>
              <w:br/>
            </w:r>
            <w:r>
              <w:rPr>
                <w:rFonts w:ascii="Aptos" w:hAnsi="Aptos" w:eastAsia="Aptos"/>
                <w:color w:val="1F1F1F"/>
                <w:sz w:val="15"/>
              </w:rPr>
              <w:t>FICOI; implant fellowship training</w:t>
            </w:r>
          </w:p>
        </w:tc>
        <w:tc>
          <w:tcPr>
            <w:tcW w:type="dxa" w:w="2592"/>
            <w:shd w:fill="EAF2F8"/>
            <w:vAlign w:val="center"/>
            <w:tcBorders>
              <w:top w:sz="8" w:val="single" w:color="FFFFFF"/>
              <w:bottom w:sz="8" w:val="single" w:color="FFFFFF"/>
              <w:left w:sz="8" w:val="single" w:color="FFFFFF"/>
              <w:right w:sz="8" w:val="single" w:color="FFFFFF"/>
            </w:tcBorders>
          </w:tcPr>
          <w:p>
            <w:pPr>
              <w:spacing w:after="0"/>
              <w:jc w:val="center"/>
            </w:pPr>
            <w:r>
              <w:rPr>
                <w:rFonts w:ascii="Aptos" w:hAnsi="Aptos" w:eastAsia="Aptos"/>
                <w:b/>
                <w:color w:val="1F4E79"/>
                <w:sz w:val="17"/>
              </w:rPr>
              <w:t>Educator</w:t>
              <w:br/>
            </w:r>
            <w:r>
              <w:rPr>
                <w:rFonts w:ascii="Aptos" w:hAnsi="Aptos" w:eastAsia="Aptos"/>
                <w:color w:val="1F1F1F"/>
                <w:sz w:val="15"/>
              </w:rPr>
              <w:t>Adjunct professor and CE presenter</w:t>
            </w:r>
          </w:p>
        </w:tc>
        <w:tc>
          <w:tcPr>
            <w:tcW w:type="dxa" w:w="2592"/>
            <w:shd w:fill="EAF2F8"/>
            <w:vAlign w:val="center"/>
            <w:tcBorders>
              <w:top w:sz="8" w:val="single" w:color="FFFFFF"/>
              <w:bottom w:sz="8" w:val="single" w:color="FFFFFF"/>
              <w:left w:sz="8" w:val="single" w:color="FFFFFF"/>
              <w:right w:sz="8" w:val="single" w:color="FFFFFF"/>
            </w:tcBorders>
          </w:tcPr>
          <w:p>
            <w:pPr>
              <w:spacing w:after="0"/>
              <w:jc w:val="center"/>
            </w:pPr>
            <w:r>
              <w:rPr>
                <w:rFonts w:ascii="Aptos" w:hAnsi="Aptos" w:eastAsia="Aptos"/>
                <w:b/>
                <w:color w:val="1F4E79"/>
                <w:sz w:val="17"/>
              </w:rPr>
              <w:t>Public Health</w:t>
              <w:br/>
            </w:r>
            <w:r>
              <w:rPr>
                <w:rFonts w:ascii="Aptos" w:hAnsi="Aptos" w:eastAsia="Aptos"/>
                <w:color w:val="1F1F1F"/>
                <w:sz w:val="15"/>
              </w:rPr>
              <w:t>MPH and CPH certification</w:t>
            </w:r>
          </w:p>
        </w:tc>
      </w:tr>
    </w:tbl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CORE CLINICAL &amp; CONSULTING EXPERTISE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85"/>
        <w:gridCol w:w="3485"/>
        <w:gridCol w:w="3485"/>
      </w:tblGrid>
      <w:tr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General dentistry standard of care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Dental implants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Implant complications</w:t>
            </w:r>
          </w:p>
        </w:tc>
      </w:tr>
      <w:tr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Treatment planning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Surgical extractions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Bone grafting / ridge preservation</w:t>
            </w:r>
          </w:p>
        </w:tc>
      </w:tr>
      <w:tr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Crown and bridge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Dentures / removable prosthetics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Implant-retained prosthetics</w:t>
            </w:r>
          </w:p>
        </w:tc>
      </w:tr>
      <w:tr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Informed consent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Dental documentation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Radiographic review</w:t>
            </w:r>
          </w:p>
        </w:tc>
      </w:tr>
      <w:tr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Oral pathology recognition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Patient communication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Clinical quality assurance</w:t>
            </w:r>
          </w:p>
        </w:tc>
      </w:tr>
      <w:tr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Digital dental workflows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Dental public health</w:t>
            </w:r>
          </w:p>
        </w:tc>
        <w:tc>
          <w:tcPr>
            <w:tcW w:type="dxa" w:w="3456"/>
            <w:shd w:fill="F4F6F7"/>
            <w:tcBorders>
              <w:top w:sz="4" w:val="single" w:color="FFFFFF"/>
              <w:bottom w:sz="4" w:val="single" w:color="FFFFFF"/>
              <w:left w:sz="4" w:val="single" w:color="FFFFFF"/>
              <w:right w:sz="4" w:val="single" w:color="FFFFFF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 w:eastAsia="Aptos"/>
                <w:color w:val="1F1F1F"/>
                <w:sz w:val="16"/>
              </w:rPr>
              <w:t>Dental education</w:t>
            </w:r>
          </w:p>
        </w:tc>
      </w:tr>
    </w:tbl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EXPERT WITNESS &amp; ADVISORY FOCUS</w:t>
      </w:r>
    </w:p>
    <w:p>
      <w:pPr>
        <w:spacing w:after="3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Dental record review, case chronology, merit review, standard-of-care analysis, written reports, deposition preparation, deposition testimony, and trial testimony.</w:t>
      </w:r>
    </w:p>
    <w:p>
      <w:pPr>
        <w:spacing w:after="3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General dentistry matters involving diagnosis, treatment planning, documentation, informed consent, patient communication, restorative care, prosthetics, and surgical procedures performed within the scope of general dentistry.</w:t>
      </w:r>
    </w:p>
    <w:p>
      <w:pPr>
        <w:spacing w:after="3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Implant matters involving case selection, planning, placement/restoration considerations, complications, prosthetic limitations, maintenance issues, patient expectations, and follow-up documentation.</w:t>
      </w:r>
    </w:p>
    <w:p>
      <w:pPr>
        <w:spacing w:after="3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Advisory work involving dental quality assurance, SOP review, clinical workflow evaluation, doctor-facing education, provider experience, and systems that improve clinical consistency.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PROFESSIONAL EXPERIENCE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42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</w:pPr>
            <w:r>
              <w:rPr>
                <w:rFonts w:ascii="Aptos" w:hAnsi="Aptos" w:eastAsia="Aptos"/>
                <w:b/>
                <w:color w:val="1F1F1F"/>
                <w:sz w:val="19"/>
              </w:rPr>
              <w:t>General Dentist and Partner</w:t>
            </w:r>
          </w:p>
          <w:p>
            <w:pPr>
              <w:spacing w:before="0" w:after="0"/>
            </w:pPr>
            <w:r>
              <w:rPr>
                <w:rFonts w:ascii="Aptos" w:hAnsi="Aptos" w:eastAsia="Aptos"/>
                <w:color w:val="666666"/>
                <w:sz w:val="18"/>
              </w:rPr>
              <w:t>Southern Heights Dental Group, Faribault, MN</w:t>
            </w:r>
          </w:p>
        </w:tc>
        <w:tc>
          <w:tcPr>
            <w:tcW w:type="dxa" w:w="194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  <w:jc w:val="right"/>
            </w:pPr>
            <w:r>
              <w:rPr>
                <w:rFonts w:ascii="Aptos" w:hAnsi="Aptos" w:eastAsia="Aptos"/>
                <w:i/>
                <w:color w:val="666666"/>
                <w:sz w:val="17"/>
              </w:rPr>
              <w:t>July 2017 - Present</w:t>
            </w:r>
          </w:p>
        </w:tc>
      </w:tr>
    </w:tbl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Provide comprehensive general dentistry to a large patient base, including preventive, restorative, prosthetic, surgical, implant-related, urgent, and family dental care.</w:t>
      </w:r>
    </w:p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Treatment plan and manage cases involving implants, crowns and bridges, dentures, implant-retained prosthetics, surgical extractions, bone grafting, complications, and patient expectations.</w:t>
      </w:r>
    </w:p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Serve as a voting member on the Board of Directors with strategic and operational oversight for an organization of more than 50 employees.</w:t>
      </w:r>
    </w:p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Emphasize informed consent, risk communication, alternatives, expectations, post-operative instructions, documentation, and practical patient-centered decision-making.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42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</w:pPr>
            <w:r>
              <w:rPr>
                <w:rFonts w:ascii="Aptos" w:hAnsi="Aptos" w:eastAsia="Aptos"/>
                <w:b/>
                <w:color w:val="1F1F1F"/>
                <w:sz w:val="19"/>
              </w:rPr>
              <w:t>Independent Dental Quality Assurance Consultant</w:t>
            </w:r>
          </w:p>
          <w:p>
            <w:pPr>
              <w:spacing w:before="0" w:after="0"/>
            </w:pPr>
            <w:r>
              <w:rPr>
                <w:rFonts w:ascii="Aptos" w:hAnsi="Aptos" w:eastAsia="Aptos"/>
                <w:color w:val="666666"/>
                <w:sz w:val="18"/>
              </w:rPr>
              <w:t>Clinical case review and dental QA</w:t>
            </w:r>
          </w:p>
        </w:tc>
        <w:tc>
          <w:tcPr>
            <w:tcW w:type="dxa" w:w="194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  <w:jc w:val="right"/>
            </w:pPr>
            <w:r>
              <w:rPr>
                <w:rFonts w:ascii="Aptos" w:hAnsi="Aptos" w:eastAsia="Aptos"/>
                <w:i/>
                <w:color w:val="666666"/>
                <w:sz w:val="17"/>
              </w:rPr>
              <w:t>2026 - Present</w:t>
            </w:r>
          </w:p>
        </w:tc>
      </w:tr>
    </w:tbl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Perform structured clinical case review, documentation review, SOP feedback, and live discussion of dental cases and workflow issues.</w:t>
      </w:r>
    </w:p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Evaluate records, clinical consistency, doctor-facing expectations, communication gaps, and opportunities to improve quality and provider trust.</w:t>
      </w:r>
    </w:p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Bring a practicing general dentist and practice-owner perspective to clinical QA, escalation patterns, education needs, and systems improvement.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42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</w:pPr>
            <w:r>
              <w:rPr>
                <w:rFonts w:ascii="Aptos" w:hAnsi="Aptos" w:eastAsia="Aptos"/>
                <w:b/>
                <w:color w:val="1F1F1F"/>
                <w:sz w:val="19"/>
              </w:rPr>
              <w:t>General Dentist and Board Member</w:t>
            </w:r>
          </w:p>
          <w:p>
            <w:pPr>
              <w:spacing w:before="0" w:after="0"/>
            </w:pPr>
            <w:r>
              <w:rPr>
                <w:rFonts w:ascii="Aptos" w:hAnsi="Aptos" w:eastAsia="Aptos"/>
                <w:color w:val="666666"/>
                <w:sz w:val="18"/>
              </w:rPr>
              <w:t>Minnesota Dental Services Advisory Committee</w:t>
            </w:r>
          </w:p>
        </w:tc>
        <w:tc>
          <w:tcPr>
            <w:tcW w:type="dxa" w:w="194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  <w:jc w:val="right"/>
            </w:pPr>
            <w:r>
              <w:rPr>
                <w:rFonts w:ascii="Aptos" w:hAnsi="Aptos" w:eastAsia="Aptos"/>
                <w:i/>
                <w:color w:val="666666"/>
                <w:sz w:val="17"/>
              </w:rPr>
              <w:t>Sept. 2019 - Present</w:t>
            </w:r>
          </w:p>
        </w:tc>
      </w:tr>
    </w:tbl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Advise the Minnesota Health Commissioner on dental public health matters, access to care, dental systems, and policy considerations.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42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</w:pPr>
            <w:r>
              <w:rPr>
                <w:rFonts w:ascii="Aptos" w:hAnsi="Aptos" w:eastAsia="Aptos"/>
                <w:b/>
                <w:color w:val="1F1F1F"/>
                <w:sz w:val="19"/>
              </w:rPr>
              <w:t>Associate Adjunct Professor</w:t>
            </w:r>
          </w:p>
          <w:p>
            <w:pPr>
              <w:spacing w:before="0" w:after="0"/>
            </w:pPr>
            <w:r>
              <w:rPr>
                <w:rFonts w:ascii="Aptos" w:hAnsi="Aptos" w:eastAsia="Aptos"/>
                <w:color w:val="666666"/>
                <w:sz w:val="18"/>
              </w:rPr>
              <w:t>University of Minnesota School of Dentistry</w:t>
            </w:r>
          </w:p>
        </w:tc>
        <w:tc>
          <w:tcPr>
            <w:tcW w:type="dxa" w:w="194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  <w:jc w:val="right"/>
            </w:pPr>
            <w:r>
              <w:rPr>
                <w:rFonts w:ascii="Aptos" w:hAnsi="Aptos" w:eastAsia="Aptos"/>
                <w:i/>
                <w:color w:val="666666"/>
                <w:sz w:val="17"/>
              </w:rPr>
              <w:t>Nov. 2017 - Present</w:t>
            </w:r>
          </w:p>
        </w:tc>
      </w:tr>
    </w:tbl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Teach and mentor dental students in operative dentistry, clinical judgment, patient care, and practical chairside skills.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42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</w:pPr>
            <w:r>
              <w:rPr>
                <w:rFonts w:ascii="Aptos" w:hAnsi="Aptos" w:eastAsia="Aptos"/>
                <w:b/>
                <w:color w:val="1F1F1F"/>
                <w:sz w:val="19"/>
              </w:rPr>
              <w:t>General Dentist</w:t>
            </w:r>
          </w:p>
          <w:p>
            <w:pPr>
              <w:spacing w:before="0" w:after="0"/>
            </w:pPr>
            <w:r>
              <w:rPr>
                <w:rFonts w:ascii="Aptos" w:hAnsi="Aptos" w:eastAsia="Aptos"/>
                <w:color w:val="666666"/>
                <w:sz w:val="18"/>
              </w:rPr>
              <w:t>Dental Associates of Savage</w:t>
            </w:r>
          </w:p>
        </w:tc>
        <w:tc>
          <w:tcPr>
            <w:tcW w:type="dxa" w:w="1944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  <w:vAlign w:val="top"/>
          </w:tcPr>
          <w:p>
            <w:pPr>
              <w:spacing w:before="40" w:after="0"/>
              <w:jc w:val="right"/>
            </w:pPr>
            <w:r>
              <w:rPr>
                <w:rFonts w:ascii="Aptos" w:hAnsi="Aptos" w:eastAsia="Aptos"/>
                <w:i/>
                <w:color w:val="666666"/>
                <w:sz w:val="17"/>
              </w:rPr>
              <w:t>Sept. 2017 - 2022</w:t>
            </w:r>
          </w:p>
        </w:tc>
      </w:tr>
    </w:tbl>
    <w:p>
      <w:pPr>
        <w:spacing w:after="24" w:line="247" w:lineRule="auto"/>
        <w:ind w:left="317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Provided comprehensive dental care with a focus on family and pediatric dentistry, treatment planning, patient communication, and restorative care.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EDUCATION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712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1F1F1F"/>
                <w:sz w:val="18"/>
              </w:rPr>
              <w:t>Certificate of Online Distance Learning and Development, University of Minnesota</w:t>
            </w:r>
          </w:p>
        </w:tc>
        <w:tc>
          <w:tcPr>
            <w:tcW w:type="dxa" w:w="1656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  <w:jc w:val="right"/>
            </w:pPr>
            <w:r>
              <w:rPr>
                <w:rFonts w:ascii="Aptos" w:hAnsi="Aptos" w:eastAsia="Aptos"/>
                <w:color w:val="666666"/>
                <w:sz w:val="18"/>
              </w:rPr>
              <w:t>Aug. 2022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712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1F1F1F"/>
                <w:sz w:val="18"/>
              </w:rPr>
              <w:t>Master of Public Health, University of Minnesota School of Public Health</w:t>
            </w:r>
          </w:p>
        </w:tc>
        <w:tc>
          <w:tcPr>
            <w:tcW w:type="dxa" w:w="1656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  <w:jc w:val="right"/>
            </w:pPr>
            <w:r>
              <w:rPr>
                <w:rFonts w:ascii="Aptos" w:hAnsi="Aptos" w:eastAsia="Aptos"/>
                <w:color w:val="666666"/>
                <w:sz w:val="18"/>
              </w:rPr>
              <w:t>Dec. 2019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712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1F1F1F"/>
                <w:sz w:val="18"/>
              </w:rPr>
              <w:t>Advanced Education in General Dentistry, Naval Postgraduate School</w:t>
            </w:r>
          </w:p>
        </w:tc>
        <w:tc>
          <w:tcPr>
            <w:tcW w:type="dxa" w:w="1656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  <w:jc w:val="right"/>
            </w:pPr>
            <w:r>
              <w:rPr>
                <w:rFonts w:ascii="Aptos" w:hAnsi="Aptos" w:eastAsia="Aptos"/>
                <w:color w:val="666666"/>
                <w:sz w:val="18"/>
              </w:rPr>
              <w:t>June 2013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712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1F1F1F"/>
                <w:sz w:val="18"/>
              </w:rPr>
              <w:t>Doctor of Dental Surgery, University of Minnesota School of Dentistry</w:t>
            </w:r>
          </w:p>
        </w:tc>
        <w:tc>
          <w:tcPr>
            <w:tcW w:type="dxa" w:w="1656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  <w:jc w:val="right"/>
            </w:pPr>
            <w:r>
              <w:rPr>
                <w:rFonts w:ascii="Aptos" w:hAnsi="Aptos" w:eastAsia="Aptos"/>
                <w:color w:val="666666"/>
                <w:sz w:val="18"/>
              </w:rPr>
              <w:t>June 2012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8712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1F1F1F"/>
                <w:sz w:val="18"/>
              </w:rPr>
              <w:t>Bachelor of Science, Bates College</w:t>
            </w:r>
          </w:p>
        </w:tc>
        <w:tc>
          <w:tcPr>
            <w:tcW w:type="dxa" w:w="1656"/>
            <w:tcBorders>
              <w:top w:sz="2" w:val="single" w:color="FFFFFF"/>
              <w:bottom w:sz="2" w:val="single" w:color="FFFFFF"/>
              <w:left w:sz="2" w:val="single" w:color="FFFFFF"/>
              <w:right w:sz="2" w:val="single" w:color="FFFFFF"/>
            </w:tcBorders>
          </w:tcPr>
          <w:p>
            <w:pPr>
              <w:spacing w:after="0"/>
              <w:jc w:val="right"/>
            </w:pPr>
            <w:r>
              <w:rPr>
                <w:rFonts w:ascii="Aptos" w:hAnsi="Aptos" w:eastAsia="Aptos"/>
                <w:color w:val="666666"/>
                <w:sz w:val="18"/>
              </w:rPr>
              <w:t>May 2006</w:t>
            </w:r>
          </w:p>
        </w:tc>
      </w:tr>
    </w:tbl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CREDENTIALS, FELLOWSHIPS &amp; ADVANCED TRAINING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Minnesota Dental License, active; license number available upon request.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Fellow, International Congress of Oral Implantologists (FICOI), 2023.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UNLV and California Implant Institute Fellowship in Oral Implantology, 2023.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NYU and Dental XP Implant Fellowship Program, 2019.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Certified in Public Health (NBPHE CPH), 2019.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Certificate of Online Distance Learning and Development, University of Minnesota, 2022.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SELECTED HONORS &amp; AWARDS</w:t>
      </w:r>
    </w:p>
    <w:p>
      <w:pPr>
        <w:spacing w:after="30"/>
      </w:pPr>
      <w:r>
        <w:rPr>
          <w:rFonts w:ascii="Aptos" w:hAnsi="Aptos" w:eastAsia="Aptos"/>
          <w:b/>
          <w:color w:val="1F4E79"/>
          <w:sz w:val="18"/>
        </w:rPr>
        <w:t xml:space="preserve">Navy Honors: </w:t>
      </w:r>
      <w:r>
        <w:rPr>
          <w:rFonts w:ascii="Aptos" w:hAnsi="Aptos" w:eastAsia="Aptos"/>
          <w:color w:val="1F1F1F"/>
          <w:sz w:val="18"/>
        </w:rPr>
        <w:t>Naval Achievement Medal, 2017; Naval Commendation Medal, 2014; Surface Warfare Dental Department Pin, 2014.</w:t>
      </w:r>
    </w:p>
    <w:p>
      <w:pPr>
        <w:spacing w:after="30"/>
      </w:pPr>
      <w:r>
        <w:rPr>
          <w:rFonts w:ascii="Aptos" w:hAnsi="Aptos" w:eastAsia="Aptos"/>
          <w:b/>
          <w:color w:val="1F4E79"/>
          <w:sz w:val="18"/>
        </w:rPr>
        <w:t xml:space="preserve">Advanced Education in General Dentistry: </w:t>
      </w:r>
      <w:r>
        <w:rPr>
          <w:rFonts w:ascii="Aptos" w:hAnsi="Aptos" w:eastAsia="Aptos"/>
          <w:color w:val="1F1F1F"/>
          <w:sz w:val="18"/>
        </w:rPr>
        <w:t>Graduated #1 of 10 residents, 2013; 3rd Place Table Clinic Competition, CDA Annual Meeting, 2013.</w:t>
      </w:r>
    </w:p>
    <w:p>
      <w:pPr>
        <w:spacing w:after="30"/>
      </w:pPr>
      <w:r>
        <w:rPr>
          <w:rFonts w:ascii="Aptos" w:hAnsi="Aptos" w:eastAsia="Aptos"/>
          <w:b/>
          <w:color w:val="1F4E79"/>
          <w:sz w:val="18"/>
        </w:rPr>
        <w:t xml:space="preserve">University of Minnesota School of Dentistry: </w:t>
      </w:r>
      <w:r>
        <w:rPr>
          <w:rFonts w:ascii="Aptos" w:hAnsi="Aptos" w:eastAsia="Aptos"/>
          <w:color w:val="1F1F1F"/>
          <w:sz w:val="18"/>
        </w:rPr>
        <w:t>Outstanding Student Award, American Academy of Craniofacial Pain, 2012; Recognition Certificate, American Academy of Orofacial Pain, 2012; Periodontics Honors Course; Dean's List, 2010-2012; Navy Health Professional Scholarship Program, 2008.</w:t>
      </w:r>
    </w:p>
    <w:p>
      <w:pPr>
        <w:spacing w:after="30"/>
      </w:pPr>
      <w:r>
        <w:rPr>
          <w:rFonts w:ascii="Aptos" w:hAnsi="Aptos" w:eastAsia="Aptos"/>
          <w:b/>
          <w:color w:val="1F4E79"/>
          <w:sz w:val="18"/>
        </w:rPr>
        <w:t xml:space="preserve">Bates College: </w:t>
      </w:r>
      <w:r>
        <w:rPr>
          <w:rFonts w:ascii="Aptos" w:hAnsi="Aptos" w:eastAsia="Aptos"/>
          <w:color w:val="1F1F1F"/>
          <w:sz w:val="18"/>
        </w:rPr>
        <w:t>NCAA Academic All-American; Dean's List; Fairbanks Scholarship; INBRE Research Grant, 2005.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TEACHING, SPEAKING &amp; PRESENTATIONS</w:t>
      </w:r>
    </w:p>
    <w:p>
      <w:pPr>
        <w:spacing w:after="40"/>
      </w:pPr>
      <w:r>
        <w:rPr>
          <w:rFonts w:ascii="Aptos" w:hAnsi="Aptos" w:eastAsia="Aptos"/>
          <w:b/>
          <w:color w:val="1F4E79"/>
          <w:sz w:val="18"/>
        </w:rPr>
        <w:t xml:space="preserve">Available speaking and CE themes: </w:t>
      </w:r>
      <w:r>
        <w:rPr>
          <w:rFonts w:ascii="Aptos" w:hAnsi="Aptos" w:eastAsia="Aptos"/>
          <w:color w:val="1F1F1F"/>
          <w:sz w:val="18"/>
        </w:rPr>
        <w:t>implant complications and documentation; surgical consent and risk communication; fixed/removable prosthetic complications; litigation-resistant clinical notes; emergency management; dental public health and systems improvement.</w:t>
      </w:r>
    </w:p>
    <w:p>
      <w:pPr>
        <w:spacing w:after="20"/>
        <w:ind w:left="259" w:hanging="202"/>
      </w:pPr>
      <w:r>
        <w:rPr>
          <w:rFonts w:ascii="Aptos" w:hAnsi="Aptos" w:eastAsia="Aptos"/>
          <w:b/>
          <w:color w:val="1F4E79"/>
          <w:sz w:val="18"/>
        </w:rPr>
        <w:t xml:space="preserve">2022: </w:t>
      </w:r>
      <w:r>
        <w:rPr>
          <w:rFonts w:ascii="Aptos" w:hAnsi="Aptos" w:eastAsia="Aptos"/>
          <w:color w:val="1F1F1F"/>
          <w:sz w:val="18"/>
        </w:rPr>
        <w:t>Advanced Oral Surgery, Intelligent Touch; Code Blue: Management of Dental Emergencies.</w:t>
      </w:r>
    </w:p>
    <w:p>
      <w:pPr>
        <w:spacing w:after="20"/>
        <w:ind w:left="259" w:hanging="202"/>
      </w:pPr>
      <w:r>
        <w:rPr>
          <w:rFonts w:ascii="Aptos" w:hAnsi="Aptos" w:eastAsia="Aptos"/>
          <w:b/>
          <w:color w:val="1F4E79"/>
          <w:sz w:val="18"/>
        </w:rPr>
        <w:t xml:space="preserve">2021: </w:t>
      </w:r>
      <w:r>
        <w:rPr>
          <w:rFonts w:ascii="Aptos" w:hAnsi="Aptos" w:eastAsia="Aptos"/>
          <w:color w:val="1F1F1F"/>
          <w:sz w:val="18"/>
        </w:rPr>
        <w:t>C Diff: The Last Wipe.</w:t>
      </w:r>
    </w:p>
    <w:p>
      <w:pPr>
        <w:spacing w:after="20"/>
        <w:ind w:left="259" w:hanging="202"/>
      </w:pPr>
      <w:r>
        <w:rPr>
          <w:rFonts w:ascii="Aptos" w:hAnsi="Aptos" w:eastAsia="Aptos"/>
          <w:b/>
          <w:color w:val="1F4E79"/>
          <w:sz w:val="18"/>
        </w:rPr>
        <w:t xml:space="preserve">2020: </w:t>
      </w:r>
      <w:r>
        <w:rPr>
          <w:rFonts w:ascii="Aptos" w:hAnsi="Aptos" w:eastAsia="Aptos"/>
          <w:color w:val="1F1F1F"/>
          <w:sz w:val="18"/>
        </w:rPr>
        <w:t>Navy Reserve Poster - The State of the Opioid Epidemic.</w:t>
      </w:r>
    </w:p>
    <w:p>
      <w:pPr>
        <w:spacing w:after="20"/>
        <w:ind w:left="259" w:hanging="202"/>
      </w:pPr>
      <w:r>
        <w:rPr>
          <w:rFonts w:ascii="Aptos" w:hAnsi="Aptos" w:eastAsia="Aptos"/>
          <w:b/>
          <w:color w:val="1F4E79"/>
          <w:sz w:val="18"/>
        </w:rPr>
        <w:t xml:space="preserve">2018: </w:t>
      </w:r>
      <w:r>
        <w:rPr>
          <w:rFonts w:ascii="Aptos" w:hAnsi="Aptos" w:eastAsia="Aptos"/>
          <w:color w:val="1F1F1F"/>
          <w:sz w:val="18"/>
        </w:rPr>
        <w:t>Navy Reserve Poster - What is Dentistry?</w:t>
      </w:r>
    </w:p>
    <w:p>
      <w:pPr>
        <w:spacing w:after="20"/>
        <w:ind w:left="259" w:hanging="202"/>
      </w:pPr>
      <w:r>
        <w:rPr>
          <w:rFonts w:ascii="Aptos" w:hAnsi="Aptos" w:eastAsia="Aptos"/>
          <w:b/>
          <w:color w:val="1F4E79"/>
          <w:sz w:val="18"/>
        </w:rPr>
        <w:t xml:space="preserve">2016: </w:t>
      </w:r>
      <w:r>
        <w:rPr>
          <w:rFonts w:ascii="Aptos" w:hAnsi="Aptos" w:eastAsia="Aptos"/>
          <w:color w:val="1F1F1F"/>
          <w:sz w:val="18"/>
        </w:rPr>
        <w:t>Operation Dental Freedom; A "Model" Educational System.</w:t>
      </w:r>
    </w:p>
    <w:p>
      <w:pPr>
        <w:spacing w:after="20"/>
        <w:ind w:left="259" w:hanging="202"/>
      </w:pPr>
      <w:r>
        <w:rPr>
          <w:rFonts w:ascii="Aptos" w:hAnsi="Aptos" w:eastAsia="Aptos"/>
          <w:b/>
          <w:color w:val="1F4E79"/>
          <w:sz w:val="18"/>
        </w:rPr>
        <w:t xml:space="preserve">2013: </w:t>
      </w:r>
      <w:r>
        <w:rPr>
          <w:rFonts w:ascii="Aptos" w:hAnsi="Aptos" w:eastAsia="Aptos"/>
          <w:color w:val="1F1F1F"/>
          <w:sz w:val="18"/>
        </w:rPr>
        <w:t>Diode Lasers for Soft Tissue Management, CDA Resident Clinic.</w:t>
      </w:r>
    </w:p>
    <w:p>
      <w:pPr>
        <w:spacing w:after="20"/>
        <w:ind w:left="259" w:hanging="202"/>
      </w:pPr>
      <w:r>
        <w:rPr>
          <w:rFonts w:ascii="Aptos" w:hAnsi="Aptos" w:eastAsia="Aptos"/>
          <w:b/>
          <w:color w:val="1F4E79"/>
          <w:sz w:val="18"/>
        </w:rPr>
        <w:t xml:space="preserve">2009: </w:t>
      </w:r>
      <w:r>
        <w:rPr>
          <w:rFonts w:ascii="Aptos" w:hAnsi="Aptos" w:eastAsia="Aptos"/>
          <w:color w:val="1F1F1F"/>
          <w:sz w:val="18"/>
        </w:rPr>
        <w:t>BMP2 and DC-STAMP, University of Illinois Research Symposium.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PUBLICATIONS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Broom WJ, Johnson DV, et al. (2008). The aggressive phenotype in SOD1A4V-mediated ALS. Neuroscience Letters.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Broom WJ, Johnson DV, et al. (2009). DNA sequence around the SOD1 gene in recessive ALS. Neuroscience Letters.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PROFESSIONAL MEMBERSHIPS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Academy of General Dentistry (AGD), 2010 - Present.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American Academy of Public Health (AAPH), 2015 - Present.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International Congress of Oral Implantologists (ICOI), 2016 - Present.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American Academy of Sports Dentistry (ASD), 2018 - Present.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American Academy of Oral Medicine (AAOM), 2024 - Present.</w:t>
      </w:r>
    </w:p>
    <w:p>
      <w:pPr>
        <w:spacing w:before="160" w:after="80"/>
        <w:pBdr>
          <w:bottom w:val="single" w:sz="6" w:space="3" w:color="1F4E79"/>
        </w:pBdr>
      </w:pPr>
      <w:r>
        <w:rPr>
          <w:rFonts w:ascii="Aptos" w:hAnsi="Aptos" w:eastAsia="Aptos"/>
          <w:b/>
          <w:color w:val="1F4E79"/>
          <w:sz w:val="21"/>
        </w:rPr>
        <w:t>COMMUNITY SERVICE &amp; VOLUNTEER WORK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Youth Track Coach, Eagan Athletic Association, 2022 - Present.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Youth Nordic Ski Coach, Minnesota Youth Ski League, 2017 - 2025.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Mentor/Coach, Kearney High School, San Diego, 2015.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Dental Volunteer, Give Kids a Smile, Union Gospel Mission, Ronald McDonald House, 2008 - 2011.</w:t>
      </w:r>
    </w:p>
    <w:p>
      <w:pPr>
        <w:spacing w:after="20" w:line="247" w:lineRule="auto"/>
        <w:ind w:left="259" w:hanging="202"/>
      </w:pPr>
      <w:r>
        <w:rPr>
          <w:rFonts w:ascii="Aptos" w:hAnsi="Aptos" w:eastAsia="Aptos"/>
          <w:color w:val="1F4E79"/>
          <w:sz w:val="18"/>
        </w:rPr>
        <w:t xml:space="preserve">• </w:t>
      </w:r>
      <w:r>
        <w:rPr>
          <w:rFonts w:ascii="Aptos" w:hAnsi="Aptos" w:eastAsia="Aptos"/>
          <w:color w:val="1F1F1F"/>
          <w:sz w:val="18"/>
        </w:rPr>
        <w:t>Big Brother, Boston, MA, 2007.</w:t>
      </w:r>
    </w:p>
    <w:p>
      <w:pPr>
        <w:spacing w:before="200" w:after="0"/>
        <w:jc w:val="center"/>
      </w:pPr>
      <w:r>
        <w:rPr>
          <w:rFonts w:ascii="Aptos" w:hAnsi="Aptos" w:eastAsia="Aptos"/>
          <w:i/>
          <w:color w:val="666666"/>
          <w:sz w:val="17"/>
        </w:rPr>
        <w:t>References, license verification, fee schedule, and case-review materials available upon request.</w:t>
      </w:r>
    </w:p>
    <w:sectPr w:rsidR="00FC693F" w:rsidRPr="0006063C" w:rsidSect="00034616">
      <w:footerReference w:type="default" r:id="rId9"/>
      <w:pgSz w:w="12240" w:h="15840"/>
      <w:pgMar w:top="792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Aptos" w:hAnsi="Aptos" w:eastAsia="Aptos"/>
        <w:color w:val="666666"/>
        <w:sz w:val="15"/>
      </w:rPr>
      <w:t>Daniel V. Johnson, DDS, MPH, CPH, FICOI | Curriculum Vitae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1F1F1F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V. Johnson CV - Expert Witness and Advisory</dc:title>
  <dc:subject>Curriculum Vitae</dc:subject>
  <dc:creator>Daniel V. Johnson</dc:creator>
  <cp:keywords>dentist, implant dentistry, expert witness, dental malpractice, public health, dental education</cp:keywords>
  <dc:description>Updated professional CV for expert witness, consulting, advisory, and speaking opportunities.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