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sz w:val="32"/>
          <w:szCs w:val="32"/>
        </w:rPr>
        <w:t xml:space="preserve">ALISON HELF BECHDOL</w:t>
      </w:r>
    </w:p>
    <w:p>
      <w:pPr>
        <w:spacing w:after="240"/>
        <w:jc w:val="center"/>
      </w:pPr>
      <w:r>
        <w:rPr>
          <w:rFonts w:ascii="Arial" w:cs="Arial" w:eastAsia="Arial" w:hAnsi="Arial"/>
          <w:sz w:val="20"/>
          <w:szCs w:val="20"/>
        </w:rPr>
        <w:t xml:space="preserve">Dallas–Fort Worth  |  alison@digital-ade.com  |  digital-ade.com  |  linkedin.com/in/alison-helf-bechdol</w:t>
      </w:r>
    </w:p>
    <w:p>
      <w:pPr>
        <w:pBdr>
          <w:bottom w:val="single" w:color="000000" w:sz="6" w:space="4"/>
        </w:pBdr>
        <w:spacing w:after="120" w:before="240"/>
      </w:pPr>
      <w:r>
        <w:rPr>
          <w:rFonts w:ascii="Arial" w:cs="Arial" w:eastAsia="Arial" w:hAnsi="Arial"/>
          <w:b/>
          <w:bCs/>
          <w:sz w:val="24"/>
          <w:szCs w:val="24"/>
        </w:rPr>
        <w:t xml:space="preserve">PROFESSIONAL OVERVIEW</w:t>
      </w:r>
    </w:p>
    <w:p>
      <w:pPr>
        <w:spacing w:after="80"/>
      </w:pPr>
      <w:r>
        <w:rPr>
          <w:rFonts w:ascii="Arial" w:cs="Arial" w:eastAsia="Arial" w:hAnsi="Arial"/>
          <w:sz w:val="22"/>
          <w:szCs w:val="22"/>
        </w:rPr>
        <w:t xml:space="preserve">Digital analytics and tracking technology consultant with nearly 15 years of hands-on experience implementing, auditing, and remediating the web tracking infrastructure central to privacy litigation under CIPA, VPPA, BIPA, and state consumer privacy statutes. Founder of Digital-ade (a dba of Digital Aider LLC), a consultancy specializing in analytics architecture, tag management, consent infrastructure, and data flow integrity for e-commerce, CPG, higher education, and content brands. Engagements have included Harvard University, McCormick Spices, Patagonia, Cabot, Farmacy Beauty, Poosh, Lashbox LA, Worldwide Golf Shops, Generation Love, and Drink818.</w:t>
      </w:r>
    </w:p>
    <w:p>
      <w:pPr>
        <w:pBdr>
          <w:bottom w:val="single" w:color="000000" w:sz="6" w:space="4"/>
        </w:pBdr>
        <w:spacing w:after="120" w:before="240"/>
      </w:pPr>
      <w:r>
        <w:rPr>
          <w:rFonts w:ascii="Arial" w:cs="Arial" w:eastAsia="Arial" w:hAnsi="Arial"/>
          <w:b/>
          <w:bCs/>
          <w:sz w:val="24"/>
          <w:szCs w:val="24"/>
        </w:rPr>
        <w:t xml:space="preserve">AREAS OF TECHNICAL EXPERTISE</w:t>
      </w:r>
    </w:p>
    <w:p>
      <w:pPr>
        <w:pStyle w:val="ListParagraph"/>
        <w:numPr>
          <w:ilvl w:val="0"/>
          <w:numId w:val="2"/>
        </w:numPr>
        <w:spacing w:after="60"/>
      </w:pPr>
      <w:r>
        <w:rPr>
          <w:rFonts w:ascii="Arial" w:cs="Arial" w:eastAsia="Arial" w:hAnsi="Arial"/>
          <w:sz w:val="22"/>
          <w:szCs w:val="22"/>
        </w:rPr>
        <w:t xml:space="preserve">Client-side and server-side Google Tag Manager (GTM, sGTM) implementation, including container architecture, trigger logic, and first-party cookie configuration via custom subdomains</w:t>
      </w:r>
    </w:p>
    <w:p>
      <w:pPr>
        <w:pStyle w:val="ListParagraph"/>
        <w:numPr>
          <w:ilvl w:val="0"/>
          <w:numId w:val="2"/>
        </w:numPr>
        <w:spacing w:after="60"/>
      </w:pPr>
      <w:r>
        <w:rPr>
          <w:rFonts w:ascii="Arial" w:cs="Arial" w:eastAsia="Arial" w:hAnsi="Arial"/>
          <w:sz w:val="22"/>
          <w:szCs w:val="22"/>
        </w:rPr>
        <w:t xml:space="preserve">Meta Pixel, Google Ads, TikTok Pixel, and other third-party tracker implementation, configuration, and forensic auditing</w:t>
      </w:r>
    </w:p>
    <w:p>
      <w:pPr>
        <w:pStyle w:val="ListParagraph"/>
        <w:numPr>
          <w:ilvl w:val="0"/>
          <w:numId w:val="2"/>
        </w:numPr>
        <w:spacing w:after="60"/>
      </w:pPr>
      <w:r>
        <w:rPr>
          <w:rFonts w:ascii="Arial" w:cs="Arial" w:eastAsia="Arial" w:hAnsi="Arial"/>
          <w:sz w:val="22"/>
          <w:szCs w:val="22"/>
        </w:rPr>
        <w:t xml:space="preserve">Consent management platform configuration and remediation, including OneTrust, Google Consent Mode v2, and the IAB Transparency and Consent Framework</w:t>
      </w:r>
    </w:p>
    <w:p>
      <w:pPr>
        <w:pStyle w:val="ListParagraph"/>
        <w:numPr>
          <w:ilvl w:val="0"/>
          <w:numId w:val="2"/>
        </w:numPr>
        <w:spacing w:after="60"/>
      </w:pPr>
      <w:r>
        <w:rPr>
          <w:rFonts w:ascii="Arial" w:cs="Arial" w:eastAsia="Arial" w:hAnsi="Arial"/>
          <w:sz w:val="22"/>
          <w:szCs w:val="22"/>
        </w:rPr>
        <w:t xml:space="preserve">Global Privacy Control (GPC) signal handling and universal opt-out mechanism implementation</w:t>
      </w:r>
    </w:p>
    <w:p>
      <w:pPr>
        <w:pStyle w:val="ListParagraph"/>
        <w:numPr>
          <w:ilvl w:val="0"/>
          <w:numId w:val="2"/>
        </w:numPr>
        <w:spacing w:after="60"/>
      </w:pPr>
      <w:r>
        <w:rPr>
          <w:rFonts w:ascii="Arial" w:cs="Arial" w:eastAsia="Arial" w:hAnsi="Arial"/>
          <w:sz w:val="22"/>
          <w:szCs w:val="22"/>
        </w:rPr>
        <w:t xml:space="preserve">Klaviyo, ActiveCampaign, and MailChimp configuration, including consent capture, profile data flows, and ESP-to-tracking-pipeline integrations</w:t>
      </w:r>
    </w:p>
    <w:p>
      <w:pPr>
        <w:pStyle w:val="ListParagraph"/>
        <w:numPr>
          <w:ilvl w:val="0"/>
          <w:numId w:val="2"/>
        </w:numPr>
        <w:spacing w:after="60"/>
      </w:pPr>
      <w:r>
        <w:rPr>
          <w:rFonts w:ascii="Arial" w:cs="Arial" w:eastAsia="Arial" w:hAnsi="Arial"/>
          <w:sz w:val="22"/>
          <w:szCs w:val="22"/>
        </w:rPr>
        <w:t xml:space="preserve">Shopify, WordPress, BigCommerce, Kentico, and Drupal e-commerce and CMS tracking, including data layer construction and purchase event integrity</w:t>
      </w:r>
    </w:p>
    <w:p>
      <w:pPr>
        <w:pStyle w:val="ListParagraph"/>
        <w:numPr>
          <w:ilvl w:val="0"/>
          <w:numId w:val="2"/>
        </w:numPr>
        <w:spacing w:after="60"/>
      </w:pPr>
      <w:r>
        <w:rPr>
          <w:rFonts w:ascii="Arial" w:cs="Arial" w:eastAsia="Arial" w:hAnsi="Arial"/>
          <w:sz w:val="22"/>
          <w:szCs w:val="22"/>
        </w:rPr>
        <w:t xml:space="preserve">Forensic analysis of tracking behavior via HAR capture, network request inspection, and tag-firing sequence analysis relative to consent state</w:t>
      </w:r>
    </w:p>
    <w:p>
      <w:pPr>
        <w:pStyle w:val="ListParagraph"/>
        <w:numPr>
          <w:ilvl w:val="0"/>
          <w:numId w:val="2"/>
        </w:numPr>
        <w:spacing w:after="60"/>
      </w:pPr>
      <w:r>
        <w:rPr>
          <w:rFonts w:ascii="Arial" w:cs="Arial" w:eastAsia="Arial" w:hAnsi="Arial"/>
          <w:sz w:val="22"/>
          <w:szCs w:val="22"/>
        </w:rPr>
        <w:t xml:space="preserve">BigQuery and Looker Studio for analyzing data flows, event-level tracking, and consent log evidence</w:t>
      </w:r>
    </w:p>
    <w:p>
      <w:pPr>
        <w:pBdr>
          <w:bottom w:val="single" w:color="000000" w:sz="6" w:space="4"/>
        </w:pBdr>
        <w:spacing w:after="120" w:before="240"/>
      </w:pPr>
      <w:r>
        <w:rPr>
          <w:rFonts w:ascii="Arial" w:cs="Arial" w:eastAsia="Arial" w:hAnsi="Arial"/>
          <w:b/>
          <w:bCs/>
          <w:sz w:val="24"/>
          <w:szCs w:val="24"/>
        </w:rPr>
        <w:t xml:space="preserve">AREAS OF FOCUS RELEVANT TO PRIVACY LITIGATION</w:t>
      </w:r>
    </w:p>
    <w:p>
      <w:pPr>
        <w:pStyle w:val="ListParagraph"/>
        <w:numPr>
          <w:ilvl w:val="0"/>
          <w:numId w:val="2"/>
        </w:numPr>
        <w:spacing w:after="60"/>
      </w:pPr>
      <w:r>
        <w:rPr>
          <w:rFonts w:ascii="Arial" w:cs="Arial" w:eastAsia="Arial" w:hAnsi="Arial"/>
          <w:sz w:val="22"/>
          <w:szCs w:val="22"/>
        </w:rPr>
        <w:t xml:space="preserve">Whether tracking technologies fire before, during, or after consent acquisition</w:t>
      </w:r>
    </w:p>
    <w:p>
      <w:pPr>
        <w:pStyle w:val="ListParagraph"/>
        <w:numPr>
          <w:ilvl w:val="0"/>
          <w:numId w:val="2"/>
        </w:numPr>
        <w:spacing w:after="60"/>
      </w:pPr>
      <w:r>
        <w:rPr>
          <w:rFonts w:ascii="Arial" w:cs="Arial" w:eastAsia="Arial" w:hAnsi="Arial"/>
          <w:sz w:val="22"/>
          <w:szCs w:val="22"/>
        </w:rPr>
        <w:t xml:space="preserve">Whether consent management platforms suppress tags as represented to the user</w:t>
      </w:r>
    </w:p>
    <w:p>
      <w:pPr>
        <w:pStyle w:val="ListParagraph"/>
        <w:numPr>
          <w:ilvl w:val="0"/>
          <w:numId w:val="2"/>
        </w:numPr>
        <w:spacing w:after="60"/>
      </w:pPr>
      <w:r>
        <w:rPr>
          <w:rFonts w:ascii="Arial" w:cs="Arial" w:eastAsia="Arial" w:hAnsi="Arial"/>
          <w:sz w:val="22"/>
          <w:szCs w:val="22"/>
        </w:rPr>
        <w:t xml:space="preserve">Technical mechanics of data sharing between first-party websites and third-party platforms</w:t>
      </w:r>
    </w:p>
    <w:p>
      <w:pPr>
        <w:pStyle w:val="ListParagraph"/>
        <w:numPr>
          <w:ilvl w:val="0"/>
          <w:numId w:val="2"/>
        </w:numPr>
        <w:spacing w:after="60"/>
      </w:pPr>
      <w:r>
        <w:rPr>
          <w:rFonts w:ascii="Arial" w:cs="Arial" w:eastAsia="Arial" w:hAnsi="Arial"/>
          <w:sz w:val="22"/>
          <w:szCs w:val="22"/>
        </w:rPr>
        <w:t xml:space="preserve">Pixel and tag configuration with respect to PII and sensitive data categories</w:t>
      </w:r>
    </w:p>
    <w:p>
      <w:pPr>
        <w:pStyle w:val="ListParagraph"/>
        <w:numPr>
          <w:ilvl w:val="0"/>
          <w:numId w:val="2"/>
        </w:numPr>
        <w:spacing w:after="60"/>
      </w:pPr>
      <w:r>
        <w:rPr>
          <w:rFonts w:ascii="Arial" w:cs="Arial" w:eastAsia="Arial" w:hAnsi="Arial"/>
          <w:sz w:val="22"/>
          <w:szCs w:val="22"/>
        </w:rPr>
        <w:t xml:space="preserve">Universal opt-out signal recognition and the technical evidence of compliance or non-compliance</w:t>
      </w:r>
    </w:p>
    <w:p>
      <w:pPr>
        <w:pStyle w:val="ListParagraph"/>
        <w:numPr>
          <w:ilvl w:val="0"/>
          <w:numId w:val="2"/>
        </w:numPr>
        <w:spacing w:after="60"/>
      </w:pPr>
      <w:r>
        <w:rPr>
          <w:rFonts w:ascii="Arial" w:cs="Arial" w:eastAsia="Arial" w:hAnsi="Arial"/>
          <w:sz w:val="22"/>
          <w:szCs w:val="22"/>
        </w:rPr>
        <w:t xml:space="preserve">Interpretation of consent records, server logs, and tag-firing telemetry as evidence</w:t>
      </w:r>
    </w:p>
    <w:p>
      <w:pPr>
        <w:pBdr>
          <w:bottom w:val="single" w:color="000000" w:sz="6" w:space="4"/>
        </w:pBdr>
        <w:spacing w:after="120" w:before="240"/>
      </w:pPr>
      <w:r>
        <w:rPr>
          <w:rFonts w:ascii="Arial" w:cs="Arial" w:eastAsia="Arial" w:hAnsi="Arial"/>
          <w:b/>
          <w:bCs/>
          <w:sz w:val="24"/>
          <w:szCs w:val="24"/>
        </w:rPr>
        <w:t xml:space="preserve">PROFESSIONAL EXPERIENCE</w:t>
      </w:r>
    </w:p>
    <w:p>
      <w:pPr>
        <w:spacing w:after="40" w:before="160"/>
      </w:pPr>
      <w:r>
        <w:rPr>
          <w:rFonts w:ascii="Arial" w:cs="Arial" w:eastAsia="Arial" w:hAnsi="Arial"/>
          <w:b/>
          <w:bCs/>
          <w:sz w:val="23"/>
          <w:szCs w:val="23"/>
        </w:rPr>
        <w:t xml:space="preserve">Founder and Principal Consultant</w:t>
      </w:r>
    </w:p>
    <w:p>
      <w:pPr>
        <w:spacing w:after="80"/>
      </w:pPr>
      <w:r>
        <w:rPr>
          <w:rFonts w:ascii="Arial" w:cs="Arial" w:eastAsia="Arial" w:hAnsi="Arial"/>
          <w:i/>
          <w:iCs/>
          <w:sz w:val="21"/>
          <w:szCs w:val="21"/>
        </w:rPr>
        <w:t xml:space="preserve">Digital-ade (dba of Digital Aider LLC)  |  August 2020 to Present  |  Dallas–Fort Worth</w:t>
      </w:r>
    </w:p>
    <w:p>
      <w:pPr>
        <w:pStyle w:val="ListParagraph"/>
        <w:numPr>
          <w:ilvl w:val="0"/>
          <w:numId w:val="2"/>
        </w:numPr>
        <w:spacing w:after="60"/>
      </w:pPr>
      <w:r>
        <w:rPr>
          <w:rFonts w:ascii="Arial" w:cs="Arial" w:eastAsia="Arial" w:hAnsi="Arial"/>
          <w:sz w:val="22"/>
          <w:szCs w:val="22"/>
        </w:rPr>
        <w:t xml:space="preserve">Founded and operate an independent digital analytics consultancy advising 10+ concurrent clients on tracking implementation, measurement architecture, and privacy-aware data infrastructure</w:t>
      </w:r>
    </w:p>
    <w:p>
      <w:pPr>
        <w:pStyle w:val="ListParagraph"/>
        <w:numPr>
          <w:ilvl w:val="0"/>
          <w:numId w:val="2"/>
        </w:numPr>
        <w:spacing w:after="60"/>
      </w:pPr>
      <w:r>
        <w:rPr>
          <w:rFonts w:ascii="Arial" w:cs="Arial" w:eastAsia="Arial" w:hAnsi="Arial"/>
          <w:sz w:val="22"/>
          <w:szCs w:val="22"/>
        </w:rPr>
        <w:t xml:space="preserve">Implement and audit server-side tracking architectures using GA4, Google Tag Manager, and server-side GTM, including custom event schemas and first-party data pipelines</w:t>
      </w:r>
    </w:p>
    <w:p>
      <w:pPr>
        <w:pStyle w:val="ListParagraph"/>
        <w:numPr>
          <w:ilvl w:val="0"/>
          <w:numId w:val="2"/>
        </w:numPr>
        <w:spacing w:after="60"/>
      </w:pPr>
      <w:r>
        <w:rPr>
          <w:rFonts w:ascii="Arial" w:cs="Arial" w:eastAsia="Arial" w:hAnsi="Arial"/>
          <w:sz w:val="22"/>
          <w:szCs w:val="22"/>
        </w:rPr>
        <w:t xml:space="preserve">Advise on and implement cookie consent and tracking compliance solutions aligned with GDPR, CCPA, the Texas Data Privacy and Security Act (TDPSA), and related state privacy regimes</w:t>
      </w:r>
    </w:p>
    <w:p>
      <w:pPr>
        <w:pStyle w:val="ListParagraph"/>
        <w:numPr>
          <w:ilvl w:val="0"/>
          <w:numId w:val="2"/>
        </w:numPr>
        <w:spacing w:after="60"/>
      </w:pPr>
      <w:r>
        <w:rPr>
          <w:rFonts w:ascii="Arial" w:cs="Arial" w:eastAsia="Arial" w:hAnsi="Arial"/>
          <w:sz w:val="22"/>
          <w:szCs w:val="22"/>
        </w:rPr>
        <w:t xml:space="preserve">Conduct full MarTech stack audits for brands with fragmented or misconfigured tooling, including remediation of tag firing sequences, consent integration, and third-party data sharing</w:t>
      </w:r>
    </w:p>
    <w:p>
      <w:pPr>
        <w:pStyle w:val="ListParagraph"/>
        <w:numPr>
          <w:ilvl w:val="0"/>
          <w:numId w:val="2"/>
        </w:numPr>
        <w:spacing w:after="60"/>
      </w:pPr>
      <w:r>
        <w:rPr>
          <w:rFonts w:ascii="Arial" w:cs="Arial" w:eastAsia="Arial" w:hAnsi="Arial"/>
          <w:sz w:val="22"/>
          <w:szCs w:val="22"/>
        </w:rPr>
        <w:t xml:space="preserve">Design KPI measurement and attribution frameworks supported by event-level data in BigQuery and Looker Studio</w:t>
      </w:r>
    </w:p>
    <w:p>
      <w:pPr>
        <w:pStyle w:val="ListParagraph"/>
        <w:numPr>
          <w:ilvl w:val="0"/>
          <w:numId w:val="2"/>
        </w:numPr>
        <w:spacing w:after="60"/>
      </w:pPr>
      <w:r>
        <w:rPr>
          <w:rFonts w:ascii="Arial" w:cs="Arial" w:eastAsia="Arial" w:hAnsi="Arial"/>
          <w:sz w:val="22"/>
          <w:szCs w:val="22"/>
        </w:rPr>
        <w:t xml:space="preserve">Build Klaviyo and ESP automation flows integrated with e-commerce platforms, including consent-aware audience and event handling</w:t>
      </w:r>
    </w:p>
    <w:p>
      <w:pPr>
        <w:spacing w:after="40" w:before="160"/>
      </w:pPr>
      <w:r>
        <w:rPr>
          <w:rFonts w:ascii="Arial" w:cs="Arial" w:eastAsia="Arial" w:hAnsi="Arial"/>
          <w:b/>
          <w:bCs/>
          <w:sz w:val="23"/>
          <w:szCs w:val="23"/>
        </w:rPr>
        <w:t xml:space="preserve">Senior Digital Marketing Strategist</w:t>
      </w:r>
    </w:p>
    <w:p>
      <w:pPr>
        <w:spacing w:after="80"/>
      </w:pPr>
      <w:r>
        <w:rPr>
          <w:rFonts w:ascii="Arial" w:cs="Arial" w:eastAsia="Arial" w:hAnsi="Arial"/>
          <w:i/>
          <w:iCs/>
          <w:sz w:val="21"/>
          <w:szCs w:val="21"/>
        </w:rPr>
        <w:t xml:space="preserve">Perficient  |  April 2020 to August 2020</w:t>
      </w:r>
    </w:p>
    <w:p>
      <w:pPr>
        <w:pStyle w:val="ListParagraph"/>
        <w:numPr>
          <w:ilvl w:val="0"/>
          <w:numId w:val="2"/>
        </w:numPr>
        <w:spacing w:after="60"/>
      </w:pPr>
      <w:r>
        <w:rPr>
          <w:rFonts w:ascii="Arial" w:cs="Arial" w:eastAsia="Arial" w:hAnsi="Arial"/>
          <w:sz w:val="22"/>
          <w:szCs w:val="22"/>
        </w:rPr>
        <w:t xml:space="preserve">Led strategy for enterprise clients across SEO, paid media, email marketing, and automation</w:t>
      </w:r>
    </w:p>
    <w:p>
      <w:pPr>
        <w:pStyle w:val="ListParagraph"/>
        <w:numPr>
          <w:ilvl w:val="0"/>
          <w:numId w:val="2"/>
        </w:numPr>
        <w:spacing w:after="60"/>
      </w:pPr>
      <w:r>
        <w:rPr>
          <w:rFonts w:ascii="Arial" w:cs="Arial" w:eastAsia="Arial" w:hAnsi="Arial"/>
          <w:sz w:val="22"/>
          <w:szCs w:val="22"/>
        </w:rPr>
        <w:t xml:space="preserve">Partnered with engineering and product teams to translate analytics requirements into implementation specifications</w:t>
      </w:r>
    </w:p>
    <w:p>
      <w:pPr>
        <w:pStyle w:val="ListParagraph"/>
        <w:numPr>
          <w:ilvl w:val="0"/>
          <w:numId w:val="2"/>
        </w:numPr>
        <w:spacing w:after="60"/>
      </w:pPr>
      <w:r>
        <w:rPr>
          <w:rFonts w:ascii="Arial" w:cs="Arial" w:eastAsia="Arial" w:hAnsi="Arial"/>
          <w:sz w:val="22"/>
          <w:szCs w:val="22"/>
        </w:rPr>
        <w:t xml:space="preserve">Built measurement frameworks providing client-side visibility into campaign performance and attribution across business verticals</w:t>
      </w:r>
    </w:p>
    <w:p>
      <w:pPr>
        <w:spacing w:after="40" w:before="160"/>
      </w:pPr>
      <w:r>
        <w:rPr>
          <w:rFonts w:ascii="Arial" w:cs="Arial" w:eastAsia="Arial" w:hAnsi="Arial"/>
          <w:b/>
          <w:bCs/>
          <w:sz w:val="23"/>
          <w:szCs w:val="23"/>
        </w:rPr>
        <w:t xml:space="preserve">Senior Digital Strategist / Digital Strategist</w:t>
      </w:r>
    </w:p>
    <w:p>
      <w:pPr>
        <w:spacing w:after="80"/>
      </w:pPr>
      <w:r>
        <w:rPr>
          <w:rFonts w:ascii="Arial" w:cs="Arial" w:eastAsia="Arial" w:hAnsi="Arial"/>
          <w:i/>
          <w:iCs/>
          <w:sz w:val="21"/>
          <w:szCs w:val="21"/>
        </w:rPr>
        <w:t xml:space="preserve">Third and Grove  |  April 2018 to April 2020</w:t>
      </w:r>
    </w:p>
    <w:p>
      <w:pPr>
        <w:pStyle w:val="ListParagraph"/>
        <w:numPr>
          <w:ilvl w:val="0"/>
          <w:numId w:val="2"/>
        </w:numPr>
        <w:spacing w:after="60"/>
      </w:pPr>
      <w:r>
        <w:rPr>
          <w:rFonts w:ascii="Arial" w:cs="Arial" w:eastAsia="Arial" w:hAnsi="Arial"/>
          <w:sz w:val="22"/>
          <w:szCs w:val="22"/>
        </w:rPr>
        <w:t xml:space="preserve">Developed customer behavior and persona models informing site architecture, user journey design, and analytics strategy</w:t>
      </w:r>
    </w:p>
    <w:p>
      <w:pPr>
        <w:pStyle w:val="ListParagraph"/>
        <w:numPr>
          <w:ilvl w:val="0"/>
          <w:numId w:val="2"/>
        </w:numPr>
        <w:spacing w:after="60"/>
      </w:pPr>
      <w:r>
        <w:rPr>
          <w:rFonts w:ascii="Arial" w:cs="Arial" w:eastAsia="Arial" w:hAnsi="Arial"/>
          <w:sz w:val="22"/>
          <w:szCs w:val="22"/>
        </w:rPr>
        <w:t xml:space="preserve">Managed 10+ concurrent client accounts across SEO, advertising, campaign planning, and analytics reporting</w:t>
      </w:r>
    </w:p>
    <w:p>
      <w:pPr>
        <w:pStyle w:val="ListParagraph"/>
        <w:numPr>
          <w:ilvl w:val="0"/>
          <w:numId w:val="2"/>
        </w:numPr>
        <w:spacing w:after="60"/>
      </w:pPr>
      <w:r>
        <w:rPr>
          <w:rFonts w:ascii="Arial" w:cs="Arial" w:eastAsia="Arial" w:hAnsi="Arial"/>
          <w:sz w:val="22"/>
          <w:szCs w:val="22"/>
        </w:rPr>
        <w:t xml:space="preserve">Collaborated with engineering and product teams on tracking implementation, including custom data layer specification and execution</w:t>
      </w:r>
    </w:p>
    <w:p>
      <w:pPr>
        <w:pBdr>
          <w:bottom w:val="single" w:color="000000" w:sz="6" w:space="4"/>
        </w:pBdr>
        <w:spacing w:after="120" w:before="240"/>
      </w:pPr>
      <w:r>
        <w:rPr>
          <w:rFonts w:ascii="Arial" w:cs="Arial" w:eastAsia="Arial" w:hAnsi="Arial"/>
          <w:b/>
          <w:bCs/>
          <w:sz w:val="24"/>
          <w:szCs w:val="24"/>
        </w:rPr>
        <w:t xml:space="preserve">SPEAKING AND PUBLICATIONS</w:t>
      </w:r>
    </w:p>
    <w:p>
      <w:pPr>
        <w:pStyle w:val="ListParagraph"/>
        <w:numPr>
          <w:ilvl w:val="0"/>
          <w:numId w:val="2"/>
        </w:numPr>
        <w:spacing w:after="60"/>
      </w:pPr>
      <w:r>
        <w:rPr>
          <w:rFonts w:ascii="Arial" w:cs="Arial" w:eastAsia="Arial" w:hAnsi="Arial"/>
          <w:sz w:val="22"/>
          <w:szCs w:val="22"/>
        </w:rPr>
        <w:t xml:space="preserve">Independence by Design Podcast (2025): On data infrastructure as the foundation of marketing measurement and revenue predictability</w:t>
      </w:r>
    </w:p>
    <w:p>
      <w:pPr>
        <w:pStyle w:val="ListParagraph"/>
        <w:numPr>
          <w:ilvl w:val="0"/>
          <w:numId w:val="2"/>
        </w:numPr>
        <w:spacing w:after="60"/>
      </w:pPr>
      <w:r>
        <w:rPr>
          <w:rFonts w:ascii="Arial" w:cs="Arial" w:eastAsia="Arial" w:hAnsi="Arial"/>
          <w:sz w:val="22"/>
          <w:szCs w:val="22"/>
        </w:rPr>
        <w:t xml:space="preserve">Food Blogger Pro Podcast: Multiple appearances covering GA4 strategy, migration from Universal Analytics, and analytics customization for content businesses</w:t>
      </w:r>
    </w:p>
    <w:p>
      <w:pPr>
        <w:pStyle w:val="ListParagraph"/>
        <w:numPr>
          <w:ilvl w:val="0"/>
          <w:numId w:val="2"/>
        </w:numPr>
        <w:spacing w:after="60"/>
      </w:pPr>
      <w:r>
        <w:rPr>
          <w:rFonts w:ascii="Arial" w:cs="Arial" w:eastAsia="Arial" w:hAnsi="Arial"/>
          <w:sz w:val="22"/>
          <w:szCs w:val="22"/>
        </w:rPr>
        <w:t xml:space="preserve">Simple Pin Podcast: GA4 transition planning for content-driven businesses</w:t>
      </w:r>
    </w:p>
    <w:p>
      <w:pPr>
        <w:pStyle w:val="ListParagraph"/>
        <w:numPr>
          <w:ilvl w:val="0"/>
          <w:numId w:val="2"/>
        </w:numPr>
        <w:spacing w:after="60"/>
      </w:pPr>
      <w:r>
        <w:rPr>
          <w:rFonts w:ascii="Arial" w:cs="Arial" w:eastAsia="Arial" w:hAnsi="Arial"/>
          <w:sz w:val="22"/>
          <w:szCs w:val="22"/>
        </w:rPr>
        <w:t xml:space="preserve">Regular guest and speaker on industry webinars covering digital analytics, data strategy, and marketing measurement</w:t>
      </w:r>
    </w:p>
    <w:p>
      <w:pPr>
        <w:pBdr>
          <w:bottom w:val="single" w:color="000000" w:sz="6" w:space="4"/>
        </w:pBdr>
        <w:spacing w:after="120" w:before="240"/>
      </w:pPr>
      <w:r>
        <w:rPr>
          <w:rFonts w:ascii="Arial" w:cs="Arial" w:eastAsia="Arial" w:hAnsi="Arial"/>
          <w:b/>
          <w:bCs/>
          <w:sz w:val="24"/>
          <w:szCs w:val="24"/>
        </w:rPr>
        <w:t xml:space="preserve">TOOLS AND PLATFORMS</w:t>
      </w:r>
    </w:p>
    <w:p>
      <w:pPr>
        <w:spacing w:after="80"/>
      </w:pPr>
      <w:r>
        <w:rPr>
          <w:rFonts w:ascii="Arial" w:cs="Arial" w:eastAsia="Arial" w:hAnsi="Arial"/>
          <w:sz w:val="22"/>
          <w:szCs w:val="22"/>
        </w:rPr>
        <w:t xml:space="preserve">Google Analytics (GA4), Google Tag Manager (client-side and server-side), Looker Studio, BigQuery, Adobe Analytics, Microsoft Clarity, Hotjar, CrazyEgg, VWO, Klaviyo, ActiveCampaign, MailChimp, Shopify, WordPress, BigCommerce, Kentico, Drupal, OneTrust, Meta Ads, Google Ads, Pinterest Ads, Microsoft Ads, SEMRush, Moz, Ahrefs, ScreamingFrog, BrightEdge, Google Search Console, Bing Webmaster Tools, JavaScript (for tag implementation and debugging), SQL, HAR analysis tools, Chrome DevTools, Tag Assistant.</w:t>
      </w:r>
    </w:p>
    <w:p>
      <w:pPr>
        <w:pBdr>
          <w:bottom w:val="single" w:color="000000" w:sz="6" w:space="4"/>
        </w:pBdr>
        <w:spacing w:after="120" w:before="240"/>
      </w:pPr>
      <w:r>
        <w:rPr>
          <w:rFonts w:ascii="Arial" w:cs="Arial" w:eastAsia="Arial" w:hAnsi="Arial"/>
          <w:b/>
          <w:bCs/>
          <w:sz w:val="24"/>
          <w:szCs w:val="24"/>
        </w:rPr>
        <w:t xml:space="preserve">EDUCATION</w:t>
      </w:r>
    </w:p>
    <w:p>
      <w:pPr>
        <w:spacing w:after="40"/>
      </w:pPr>
      <w:r>
        <w:rPr>
          <w:rFonts w:ascii="Arial" w:cs="Arial" w:eastAsia="Arial" w:hAnsi="Arial"/>
          <w:b/>
          <w:bCs/>
          <w:sz w:val="22"/>
          <w:szCs w:val="22"/>
        </w:rPr>
        <w:t xml:space="preserve">B.S., Communication / Public Relations</w:t>
      </w:r>
      <w:r>
        <w:rPr>
          <w:rFonts w:ascii="Arial" w:cs="Arial" w:eastAsia="Arial" w:hAnsi="Arial"/>
          <w:sz w:val="22"/>
          <w:szCs w:val="22"/>
        </w:rPr>
        <w:t xml:space="preserve">, Minor in Marketing and Graphic Design</w:t>
      </w:r>
    </w:p>
    <w:p>
      <w:pPr>
        <w:spacing w:after="80"/>
      </w:pPr>
      <w:r>
        <w:rPr>
          <w:rFonts w:ascii="Arial" w:cs="Arial" w:eastAsia="Arial" w:hAnsi="Arial"/>
          <w:sz w:val="22"/>
          <w:szCs w:val="22"/>
        </w:rPr>
        <w:t xml:space="preserve">Carroll University, 2009–2013</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2026-05-12T18:12:43.032Z</dcterms:created>
  <dcterms:modified xsi:type="dcterms:W3CDTF">2026-05-12T18:12:43.032Z</dcterms:modified>
</cp:coreProperties>
</file>

<file path=docProps/custom.xml><?xml version="1.0" encoding="utf-8"?>
<Properties xmlns="http://schemas.openxmlformats.org/officeDocument/2006/custom-properties" xmlns:vt="http://schemas.openxmlformats.org/officeDocument/2006/docPropsVTypes"/>
</file>