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rFonts w:ascii="Arial" w:hAnsi="Arial"/>
          <w:b/>
          <w:color w:val="1B3A5C"/>
          <w:sz w:val="48"/>
        </w:rPr>
        <w:t>Asha Jamzadeh, MD</w:t>
      </w:r>
    </w:p>
    <w:p>
      <w:pPr>
        <w:spacing w:before="0" w:after="160"/>
      </w:pPr>
      <w:r>
        <w:rPr>
          <w:rFonts w:ascii="Arial" w:hAnsi="Arial"/>
          <w:i/>
          <w:color w:val="6B7280"/>
          <w:sz w:val="20"/>
        </w:rPr>
        <w:t>Board-Certified Urologist  ·  Expert Witness  ·  Division Chief of Urology &amp; Vice Chief of Surgery, Sharp Memorial Hospital</w:t>
      </w:r>
    </w:p>
    <w:tbl>
      <w:tblPr>
        <w:tblStyle w:val="TableGrid"/>
        <w:tblW w:type="auto" w:w="0"/>
        <w:tblLook w:firstColumn="1" w:firstRow="1" w:lastColumn="0" w:lastRow="0" w:noHBand="0" w:noVBand="1" w:val="04A0"/>
      </w:tblPr>
      <w:tblGrid>
        <w:gridCol w:w="3120"/>
        <w:gridCol w:w="3120"/>
        <w:gridCol w:w="3120"/>
      </w:tblGrid>
      <w:tr>
        <w:tc>
          <w:tcPr>
            <w:tcW w:type="dxa" w:w="3120"/>
            <w:tcBorders>
              <w:top w:val="none" w:sz="0" w:space="0" w:color="FFFFFF"/>
              <w:left w:val="none" w:sz="0" w:space="0" w:color="FFFFFF"/>
              <w:bottom w:val="none" w:sz="0" w:space="0" w:color="FFFFFF"/>
              <w:right w:val="none" w:sz="0" w:space="0" w:color="FFFFFF"/>
            </w:tcBorders>
          </w:tcPr>
          <w:p>
            <w:r>
              <w:rPr>
                <w:rFonts w:ascii="Arial" w:hAnsi="Arial"/>
                <w:b/>
                <w:color w:val="1B3A5C"/>
                <w:sz w:val="18"/>
              </w:rPr>
              <w:t xml:space="preserve">Phone: </w:t>
            </w:r>
            <w:r>
              <w:rPr>
                <w:rFonts w:ascii="Arial" w:hAnsi="Arial"/>
                <w:color w:val="111827"/>
                <w:sz w:val="18"/>
              </w:rPr>
              <w:t>317-965-7367</w:t>
            </w:r>
          </w:p>
        </w:tc>
        <w:tc>
          <w:tcPr>
            <w:tcW w:type="dxa" w:w="3120"/>
            <w:tcBorders>
              <w:top w:val="none" w:sz="0" w:space="0" w:color="FFFFFF"/>
              <w:left w:val="none" w:sz="0" w:space="0" w:color="FFFFFF"/>
              <w:bottom w:val="none" w:sz="0" w:space="0" w:color="FFFFFF"/>
              <w:right w:val="none" w:sz="0" w:space="0" w:color="FFFFFF"/>
            </w:tcBorders>
          </w:tcPr>
          <w:p>
            <w:r>
              <w:rPr>
                <w:rFonts w:ascii="Arial" w:hAnsi="Arial"/>
                <w:b/>
                <w:color w:val="1B3A5C"/>
                <w:sz w:val="18"/>
              </w:rPr>
              <w:t xml:space="preserve">Email: </w:t>
            </w:r>
            <w:r>
              <w:rPr>
                <w:rFonts w:ascii="Arial" w:hAnsi="Arial"/>
                <w:color w:val="111827"/>
                <w:sz w:val="18"/>
              </w:rPr>
              <w:t>drjamzadehexpert@gmail.com</w:t>
            </w:r>
          </w:p>
        </w:tc>
        <w:tc>
          <w:tcPr>
            <w:tcW w:type="dxa" w:w="3120"/>
            <w:tcBorders>
              <w:top w:val="none" w:sz="0" w:space="0" w:color="FFFFFF"/>
              <w:left w:val="none" w:sz="0" w:space="0" w:color="FFFFFF"/>
              <w:bottom w:val="none" w:sz="0" w:space="0" w:color="FFFFFF"/>
              <w:right w:val="none" w:sz="0" w:space="0" w:color="FFFFFF"/>
            </w:tcBorders>
          </w:tcPr>
          <w:p>
            <w:r>
              <w:rPr>
                <w:rFonts w:ascii="Arial" w:hAnsi="Arial"/>
                <w:b/>
                <w:color w:val="1B3A5C"/>
                <w:sz w:val="18"/>
              </w:rPr>
              <w:t xml:space="preserve">Location: </w:t>
            </w:r>
            <w:r>
              <w:rPr>
                <w:rFonts w:ascii="Arial" w:hAnsi="Arial"/>
                <w:color w:val="111827"/>
                <w:sz w:val="18"/>
              </w:rPr>
              <w:t>San Diego, California</w:t>
            </w:r>
          </w:p>
        </w:tc>
      </w:tr>
    </w:tbl>
    <w:p>
      <w:pPr>
        <w:spacing w:after="80"/>
      </w:pPr>
    </w:p>
    <w:p>
      <w:pPr>
        <w:spacing w:before="280" w:after="80"/>
        <w:pBdr>
          <w:bottom w:val="single" w:sz="6" w:space="4" w:color="1B3A5C"/>
        </w:pBdr>
      </w:pPr>
      <w:r>
        <w:rPr>
          <w:rFonts w:ascii="Arial" w:hAnsi="Arial"/>
          <w:b/>
          <w:color w:val="1B3A5C"/>
          <w:sz w:val="18"/>
        </w:rPr>
        <w:t>PROFESSIONAL SUMMARY</w:t>
      </w:r>
    </w:p>
    <w:p>
      <w:pPr>
        <w:spacing w:before="80" w:after="40"/>
        <w:jc w:val="both"/>
      </w:pPr>
      <w:r>
        <w:rPr>
          <w:rFonts w:ascii="Arial" w:hAnsi="Arial"/>
          <w:b w:val="0"/>
          <w:i w:val="0"/>
          <w:color w:val="111827"/>
          <w:sz w:val="20"/>
        </w:rPr>
        <w:t>Board-certified urologist with over six years of attending practice and an extensive research background spanning urothelial oncology, stone disease, and lower urinary tract dysfunction. Serves as Division Chief of Urology and Vice Chief of Surgery at Sharp Memorial Hospital (San Diego), with responsibilities spanning surgical quality oversight, credentialing, and complication review across all surgical specialties. Trained at Henry Ford Hospital's Vattikuti Urology Institute and Weill Cornell Medical College. Provides independent, evidence-based expert opinions for plaintiff counsel, defense counsel, insurance carriers, and peer review organizations.</w:t>
      </w:r>
    </w:p>
    <w:p>
      <w:pPr>
        <w:spacing w:before="280" w:after="80"/>
        <w:pBdr>
          <w:bottom w:val="single" w:sz="6" w:space="4" w:color="1B3A5C"/>
        </w:pBdr>
      </w:pPr>
      <w:r>
        <w:rPr>
          <w:rFonts w:ascii="Arial" w:hAnsi="Arial"/>
          <w:b/>
          <w:color w:val="1B3A5C"/>
          <w:sz w:val="18"/>
        </w:rPr>
        <w:t>EXPERT WITNESS CASE FOCUS AREAS</w:t>
      </w:r>
    </w:p>
    <w:tbl>
      <w:tblPr>
        <w:tblStyle w:val="TableGrid"/>
        <w:tblW w:type="auto" w:w="0"/>
        <w:tblLook w:firstColumn="1" w:firstRow="1" w:lastColumn="0" w:lastRow="0" w:noHBand="0" w:noVBand="1" w:val="04A0"/>
      </w:tblPr>
      <w:tblGrid>
        <w:gridCol w:w="4680"/>
        <w:gridCol w:w="4680"/>
      </w:tblGrid>
      <w:tr>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44"/>
            </w:pPr>
            <w:r>
              <w:rPr>
                <w:rFonts w:ascii="Arial" w:hAnsi="Arial"/>
                <w:color w:val="111827"/>
                <w:sz w:val="19"/>
              </w:rPr>
              <w:t>Prostate Cancer &amp; PSA Mismanagement</w:t>
            </w:r>
          </w:p>
        </w:tc>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44"/>
            </w:pPr>
            <w:r>
              <w:rPr>
                <w:rFonts w:ascii="Arial" w:hAnsi="Arial"/>
                <w:color w:val="111827"/>
                <w:sz w:val="19"/>
              </w:rPr>
              <w:t>Robotic &amp; Laparoscopic Surgical Complications</w:t>
            </w:r>
          </w:p>
        </w:tc>
      </w:tr>
      <w:tr>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44"/>
            </w:pPr>
            <w:r>
              <w:rPr>
                <w:rFonts w:ascii="Arial" w:hAnsi="Arial"/>
                <w:color w:val="111827"/>
                <w:sz w:val="19"/>
              </w:rPr>
              <w:t>Kidney Stone &amp; Ureteral Calculi Management</w:t>
            </w:r>
          </w:p>
        </w:tc>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44"/>
            </w:pPr>
            <w:r>
              <w:rPr>
                <w:rFonts w:ascii="Arial" w:hAnsi="Arial"/>
                <w:color w:val="111827"/>
                <w:sz w:val="19"/>
              </w:rPr>
              <w:t>Catheter Injuries &amp; UTI Mismanagement</w:t>
            </w:r>
          </w:p>
        </w:tc>
      </w:tr>
      <w:tr>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44"/>
            </w:pPr>
            <w:r>
              <w:rPr>
                <w:rFonts w:ascii="Arial" w:hAnsi="Arial"/>
                <w:color w:val="111827"/>
                <w:sz w:val="19"/>
              </w:rPr>
              <w:t>Male Sexual Medicine, Dysfunction &amp; Penile Implant Surgery (IPPs)</w:t>
            </w:r>
          </w:p>
        </w:tc>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44"/>
            </w:pPr>
            <w:r>
              <w:rPr>
                <w:rFonts w:ascii="Arial" w:hAnsi="Arial"/>
                <w:color w:val="111827"/>
                <w:sz w:val="19"/>
              </w:rPr>
              <w:t>Standard of Care Deviation Analysis — Urology</w:t>
            </w:r>
          </w:p>
        </w:tc>
      </w:tr>
      <w:tr>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44"/>
            </w:pPr>
            <w:r>
              <w:rPr>
                <w:rFonts w:ascii="Arial" w:hAnsi="Arial"/>
                <w:color w:val="111827"/>
                <w:sz w:val="19"/>
              </w:rPr>
              <w:t>Urological Oncology (Bladder, Renal &amp; Testicular Cancer)</w:t>
            </w:r>
          </w:p>
        </w:tc>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44"/>
            </w:pPr>
            <w:r>
              <w:rPr>
                <w:rFonts w:ascii="Arial" w:hAnsi="Arial"/>
                <w:color w:val="111827"/>
                <w:sz w:val="19"/>
              </w:rPr>
              <w:t>Urinary Incontinence Management (AUS, Female Slings, Bulkamid)</w:t>
            </w:r>
          </w:p>
        </w:tc>
      </w:tr>
      <w:tr>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44"/>
            </w:pPr>
            <w:r>
              <w:rPr>
                <w:rFonts w:ascii="Arial" w:hAnsi="Arial"/>
                <w:color w:val="111827"/>
                <w:sz w:val="19"/>
              </w:rPr>
              <w:t>LUTS/BPH Management &amp; Surgery (UroLift, TURP, Robotic Simple Prostatectomy)</w:t>
            </w:r>
          </w:p>
        </w:tc>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44"/>
            </w:pPr>
            <w:r>
              <w:rPr>
                <w:rFonts w:ascii="Arial" w:hAnsi="Arial"/>
                <w:color w:val="111827"/>
                <w:sz w:val="19"/>
              </w:rPr>
            </w:r>
          </w:p>
        </w:tc>
      </w:tr>
    </w:tbl>
    <w:p>
      <w:pPr>
        <w:spacing w:after="40"/>
      </w:pPr>
    </w:p>
    <w:p>
      <w:pPr>
        <w:spacing w:before="280" w:after="80"/>
        <w:pBdr>
          <w:bottom w:val="single" w:sz="6" w:space="4" w:color="1B3A5C"/>
        </w:pBdr>
      </w:pPr>
      <w:r>
        <w:rPr>
          <w:rFonts w:ascii="Arial" w:hAnsi="Arial"/>
          <w:b/>
          <w:color w:val="1B3A5C"/>
          <w:sz w:val="18"/>
        </w:rPr>
        <w:t>BOARD CERTIFICATION &amp; LICENSURE</w:t>
      </w:r>
    </w:p>
    <w:p>
      <w:pPr>
        <w:spacing w:before="40" w:after="40"/>
      </w:pPr>
      <w:r>
        <w:rPr>
          <w:rFonts w:ascii="Arial" w:hAnsi="Arial"/>
          <w:b/>
          <w:color w:val="1B3A5C"/>
          <w:sz w:val="20"/>
        </w:rPr>
        <w:t xml:space="preserve">Board Certification: </w:t>
      </w:r>
      <w:r>
        <w:rPr>
          <w:rFonts w:ascii="Arial" w:hAnsi="Arial"/>
          <w:color w:val="111827"/>
          <w:sz w:val="20"/>
        </w:rPr>
        <w:t>American Board of Urology — Certified Diplomate (June 2021)</w:t>
      </w:r>
    </w:p>
    <w:p>
      <w:pPr>
        <w:spacing w:before="40" w:after="40"/>
      </w:pPr>
      <w:r>
        <w:rPr>
          <w:rFonts w:ascii="Arial" w:hAnsi="Arial"/>
          <w:b/>
          <w:color w:val="1B3A5C"/>
          <w:sz w:val="20"/>
        </w:rPr>
        <w:t xml:space="preserve">California License: </w:t>
      </w:r>
      <w:r>
        <w:rPr>
          <w:rFonts w:ascii="Arial" w:hAnsi="Arial"/>
          <w:color w:val="111827"/>
          <w:sz w:val="20"/>
        </w:rPr>
        <w:t>Medical Board of California — Physician &amp; Surgeon, License #A159643 (Active)</w:t>
      </w:r>
    </w:p>
    <w:p>
      <w:pPr>
        <w:spacing w:before="40" w:after="40"/>
      </w:pPr>
      <w:r>
        <w:rPr>
          <w:rFonts w:ascii="Arial" w:hAnsi="Arial"/>
          <w:b/>
          <w:color w:val="1B3A5C"/>
          <w:sz w:val="20"/>
        </w:rPr>
        <w:t xml:space="preserve">Michigan License: </w:t>
      </w:r>
      <w:r>
        <w:rPr>
          <w:rFonts w:ascii="Arial" w:hAnsi="Arial"/>
          <w:color w:val="111827"/>
          <w:sz w:val="20"/>
        </w:rPr>
        <w:t>Medical Board of Michigan — Medical Doctor, License #4301105835</w:t>
      </w:r>
    </w:p>
    <w:p>
      <w:pPr>
        <w:spacing w:before="280" w:after="80"/>
        <w:pBdr>
          <w:bottom w:val="single" w:sz="6" w:space="4" w:color="1B3A5C"/>
        </w:pBdr>
      </w:pPr>
      <w:r>
        <w:rPr>
          <w:rFonts w:ascii="Arial" w:hAnsi="Arial"/>
          <w:b/>
          <w:color w:val="1B3A5C"/>
          <w:sz w:val="18"/>
        </w:rPr>
        <w:t>CURRENT APPOINTMENTS</w:t>
      </w:r>
    </w:p>
    <w:p>
      <w:pPr>
        <w:spacing w:before="160" w:after="20"/>
      </w:pPr>
      <w:r>
        <w:rPr>
          <w:rFonts w:ascii="Arial" w:hAnsi="Arial"/>
          <w:b/>
          <w:color w:val="111827"/>
          <w:sz w:val="21"/>
        </w:rPr>
        <w:t>Division Chief of Urology</w:t>
      </w:r>
      <w:r>
        <w:rPr>
          <w:rFonts w:ascii="Arial" w:hAnsi="Arial"/>
          <w:color w:val="6B7280"/>
          <w:sz w:val="20"/>
        </w:rPr>
        <w:t xml:space="preserve">  |  Sharp Memorial Hospital — San Diego, CA</w:t>
      </w:r>
    </w:p>
    <w:p>
      <w:pPr>
        <w:spacing w:before="0" w:after="40"/>
      </w:pPr>
      <w:r>
        <w:rPr>
          <w:rFonts w:ascii="Arial" w:hAnsi="Arial"/>
          <w:i/>
          <w:color w:val="6B7280"/>
          <w:sz w:val="18"/>
        </w:rPr>
        <w:t>January 2024 – Present</w:t>
      </w:r>
    </w:p>
    <w:p>
      <w:pPr>
        <w:spacing w:before="40" w:after="80"/>
      </w:pPr>
      <w:r>
        <w:rPr>
          <w:rFonts w:ascii="Arial" w:hAnsi="Arial"/>
          <w:color w:val="111827"/>
          <w:sz w:val="20"/>
        </w:rPr>
        <w:t>Serves on the Surgery Supervisory Committee. Responsible for evaluating urologic cases and complications for the hospital, providing clinical input, and overseeing quality of the urological service.</w:t>
      </w:r>
    </w:p>
    <w:p>
      <w:pPr>
        <w:spacing w:before="160" w:after="20"/>
      </w:pPr>
      <w:r>
        <w:rPr>
          <w:rFonts w:ascii="Arial" w:hAnsi="Arial"/>
          <w:b/>
          <w:color w:val="111827"/>
          <w:sz w:val="21"/>
        </w:rPr>
        <w:t>Vice Chief of Surgery</w:t>
      </w:r>
      <w:r>
        <w:rPr>
          <w:rFonts w:ascii="Arial" w:hAnsi="Arial"/>
          <w:color w:val="6B7280"/>
          <w:sz w:val="20"/>
        </w:rPr>
        <w:t xml:space="preserve">  |  Sharp Memorial Hospital — San Diego, CA</w:t>
      </w:r>
    </w:p>
    <w:p>
      <w:pPr>
        <w:spacing w:before="0" w:after="40"/>
      </w:pPr>
      <w:r>
        <w:rPr>
          <w:rFonts w:ascii="Arial" w:hAnsi="Arial"/>
          <w:i/>
          <w:color w:val="6B7280"/>
          <w:sz w:val="18"/>
        </w:rPr>
        <w:t>January 2025 – Present</w:t>
      </w:r>
    </w:p>
    <w:p>
      <w:pPr>
        <w:spacing w:before="40" w:after="80"/>
      </w:pPr>
      <w:r>
        <w:rPr>
          <w:rFonts w:ascii="Arial" w:hAnsi="Arial"/>
          <w:color w:val="111827"/>
          <w:sz w:val="20"/>
        </w:rPr>
        <w:t>Member of hospital surgical leadership overseeing surgical quality, credentialing, and operational strategy across all surgical specialties at Sharp Memorial Hospital.</w:t>
      </w:r>
    </w:p>
    <w:p>
      <w:pPr>
        <w:spacing w:before="160" w:after="20"/>
      </w:pPr>
      <w:r>
        <w:rPr>
          <w:rFonts w:ascii="Arial" w:hAnsi="Arial"/>
          <w:b/>
          <w:color w:val="111827"/>
          <w:sz w:val="21"/>
        </w:rPr>
        <w:t>Attending Urologist</w:t>
      </w:r>
      <w:r>
        <w:rPr>
          <w:rFonts w:ascii="Arial" w:hAnsi="Arial"/>
          <w:color w:val="6B7280"/>
          <w:sz w:val="20"/>
        </w:rPr>
        <w:t xml:space="preserve">  |  Sharp Rees-Stealy Physician Group — Santee, CA</w:t>
      </w:r>
    </w:p>
    <w:p>
      <w:pPr>
        <w:spacing w:before="0" w:after="40"/>
      </w:pPr>
      <w:r>
        <w:rPr>
          <w:rFonts w:ascii="Arial" w:hAnsi="Arial"/>
          <w:i/>
          <w:color w:val="6B7280"/>
          <w:sz w:val="18"/>
        </w:rPr>
        <w:t>September 2019 – Present</w:t>
      </w:r>
    </w:p>
    <w:p>
      <w:pPr>
        <w:spacing w:before="40" w:after="80"/>
      </w:pPr>
      <w:r>
        <w:rPr>
          <w:rFonts w:ascii="Arial" w:hAnsi="Arial"/>
          <w:color w:val="111827"/>
          <w:sz w:val="20"/>
        </w:rPr>
        <w:t>Full-scope urological practice encompassing robotic and laparoscopic surgery, oncology, stone disease, and lower urinary tract dysfunction.</w:t>
      </w:r>
    </w:p>
    <w:p>
      <w:pPr>
        <w:spacing w:before="160" w:after="20"/>
      </w:pPr>
      <w:r>
        <w:rPr>
          <w:rFonts w:ascii="Arial" w:hAnsi="Arial"/>
          <w:b/>
          <w:color w:val="111827"/>
          <w:sz w:val="21"/>
        </w:rPr>
        <w:t>Member, Robotic Physician Advisory Committee</w:t>
      </w:r>
      <w:r>
        <w:rPr>
          <w:rFonts w:ascii="Arial" w:hAnsi="Arial"/>
          <w:color w:val="6B7280"/>
          <w:sz w:val="20"/>
        </w:rPr>
        <w:t xml:space="preserve">  |  Sharp Memorial Hospital — San Diego, CA</w:t>
      </w:r>
    </w:p>
    <w:p>
      <w:pPr>
        <w:spacing w:before="0" w:after="40"/>
      </w:pPr>
      <w:r>
        <w:rPr>
          <w:rFonts w:ascii="Arial" w:hAnsi="Arial"/>
          <w:i/>
          <w:color w:val="6B7280"/>
          <w:sz w:val="18"/>
        </w:rPr>
        <w:t>March 2023 – Present</w:t>
      </w:r>
    </w:p>
    <w:p>
      <w:pPr>
        <w:spacing w:before="40" w:after="80"/>
      </w:pPr>
      <w:r>
        <w:rPr>
          <w:rFonts w:ascii="Arial" w:hAnsi="Arial"/>
          <w:color w:val="111827"/>
          <w:sz w:val="20"/>
        </w:rPr>
        <w:t>Evaluates and provides feedback on hospital robotics programs and service quality.</w:t>
      </w:r>
    </w:p>
    <w:p>
      <w:pPr>
        <w:spacing w:before="160" w:after="20"/>
      </w:pPr>
      <w:r>
        <w:rPr>
          <w:rFonts w:ascii="Arial" w:hAnsi="Arial"/>
          <w:b/>
          <w:color w:val="111827"/>
          <w:sz w:val="21"/>
        </w:rPr>
        <w:t>Member, Surgical Steering Committee</w:t>
      </w:r>
      <w:r>
        <w:rPr>
          <w:rFonts w:ascii="Arial" w:hAnsi="Arial"/>
          <w:color w:val="6B7280"/>
          <w:sz w:val="20"/>
        </w:rPr>
        <w:t xml:space="preserve">  |  Sharp Memorial Hospital — San Diego, CA</w:t>
      </w:r>
    </w:p>
    <w:p>
      <w:pPr>
        <w:spacing w:before="0" w:after="40"/>
      </w:pPr>
      <w:r>
        <w:rPr>
          <w:rFonts w:ascii="Arial" w:hAnsi="Arial"/>
          <w:i/>
          <w:color w:val="6B7280"/>
          <w:sz w:val="18"/>
        </w:rPr>
        <w:t>May 2023 – Present</w:t>
      </w:r>
    </w:p>
    <w:p>
      <w:pPr>
        <w:spacing w:before="40" w:after="80"/>
      </w:pPr>
      <w:r>
        <w:rPr>
          <w:rFonts w:ascii="Arial" w:hAnsi="Arial"/>
          <w:color w:val="111827"/>
          <w:sz w:val="20"/>
        </w:rPr>
        <w:t>Committee of hospital surgical leaders focused on optimization of all surgical services.</w:t>
      </w:r>
    </w:p>
    <w:p>
      <w:pPr>
        <w:spacing w:before="280" w:after="80"/>
        <w:pBdr>
          <w:bottom w:val="single" w:sz="6" w:space="4" w:color="1B3A5C"/>
        </w:pBdr>
      </w:pPr>
      <w:r>
        <w:rPr>
          <w:rFonts w:ascii="Arial" w:hAnsi="Arial"/>
          <w:b/>
          <w:color w:val="1B3A5C"/>
          <w:sz w:val="18"/>
        </w:rPr>
        <w:t>EDUCATION &amp; TRAINING</w:t>
      </w:r>
    </w:p>
    <w:p>
      <w:pPr>
        <w:spacing w:before="160" w:after="20"/>
      </w:pPr>
      <w:r>
        <w:rPr>
          <w:rFonts w:ascii="Arial" w:hAnsi="Arial"/>
          <w:b/>
          <w:color w:val="111827"/>
          <w:sz w:val="21"/>
        </w:rPr>
        <w:t>Urology Residency</w:t>
      </w:r>
      <w:r>
        <w:rPr>
          <w:rFonts w:ascii="Arial" w:hAnsi="Arial"/>
          <w:color w:val="6B7280"/>
          <w:sz w:val="20"/>
        </w:rPr>
        <w:t xml:space="preserve">  |  Henry Ford Hospital – Vattikuti Urology Institute, Detroit, MI</w:t>
      </w:r>
    </w:p>
    <w:p>
      <w:pPr>
        <w:spacing w:before="0" w:after="40"/>
      </w:pPr>
      <w:r>
        <w:rPr>
          <w:rFonts w:ascii="Arial" w:hAnsi="Arial"/>
          <w:i/>
          <w:color w:val="6B7280"/>
          <w:sz w:val="18"/>
        </w:rPr>
        <w:t>July 2014 – July 2019</w:t>
      </w:r>
    </w:p>
    <w:p>
      <w:pPr>
        <w:spacing w:before="160" w:after="20"/>
      </w:pPr>
      <w:r>
        <w:rPr>
          <w:rFonts w:ascii="Arial" w:hAnsi="Arial"/>
          <w:b/>
          <w:color w:val="111827"/>
          <w:sz w:val="21"/>
        </w:rPr>
        <w:t>Doctor of Medicine (MD)</w:t>
      </w:r>
      <w:r>
        <w:rPr>
          <w:rFonts w:ascii="Arial" w:hAnsi="Arial"/>
          <w:color w:val="6B7280"/>
          <w:sz w:val="20"/>
        </w:rPr>
        <w:t xml:space="preserve">  |  Weill Cornell Medical College, New York, NY</w:t>
      </w:r>
    </w:p>
    <w:p>
      <w:pPr>
        <w:spacing w:before="0" w:after="40"/>
      </w:pPr>
      <w:r>
        <w:rPr>
          <w:rFonts w:ascii="Arial" w:hAnsi="Arial"/>
          <w:i/>
          <w:color w:val="6B7280"/>
          <w:sz w:val="18"/>
        </w:rPr>
        <w:t>August 2010 – May 2014</w:t>
      </w:r>
    </w:p>
    <w:p>
      <w:pPr>
        <w:spacing w:before="160" w:after="20"/>
      </w:pPr>
      <w:r>
        <w:rPr>
          <w:rFonts w:ascii="Arial" w:hAnsi="Arial"/>
          <w:b/>
          <w:color w:val="111827"/>
          <w:sz w:val="21"/>
        </w:rPr>
        <w:t>BS Biochemistry (Honors) / BA Biology</w:t>
      </w:r>
      <w:r>
        <w:rPr>
          <w:rFonts w:ascii="Arial" w:hAnsi="Arial"/>
          <w:color w:val="6B7280"/>
          <w:sz w:val="20"/>
        </w:rPr>
        <w:t xml:space="preserve">  |  Indiana University, Bloomington, IN</w:t>
      </w:r>
    </w:p>
    <w:p>
      <w:pPr>
        <w:spacing w:before="0" w:after="40"/>
      </w:pPr>
      <w:r>
        <w:rPr>
          <w:rFonts w:ascii="Arial" w:hAnsi="Arial"/>
          <w:i/>
          <w:color w:val="6B7280"/>
          <w:sz w:val="18"/>
        </w:rPr>
        <w:t>August 2006 – August 2010</w:t>
      </w:r>
    </w:p>
    <w:p>
      <w:pPr>
        <w:spacing w:before="40" w:after="80"/>
      </w:pPr>
      <w:r>
        <w:rPr>
          <w:rFonts w:ascii="Arial" w:hAnsi="Arial"/>
          <w:color w:val="111827"/>
          <w:sz w:val="20"/>
        </w:rPr>
        <w:t>Hutton Honors Notation, Highest Distinction Graduate</w:t>
      </w:r>
    </w:p>
    <w:p>
      <w:pPr>
        <w:spacing w:before="280" w:after="80"/>
        <w:pBdr>
          <w:bottom w:val="single" w:sz="6" w:space="4" w:color="1B3A5C"/>
        </w:pBdr>
      </w:pPr>
      <w:r>
        <w:rPr>
          <w:rFonts w:ascii="Arial" w:hAnsi="Arial"/>
          <w:b/>
          <w:color w:val="1B3A5C"/>
          <w:sz w:val="18"/>
        </w:rPr>
        <w:t>PROFESSIONAL MEMBERSHIPS</w:t>
      </w:r>
    </w:p>
    <w:p>
      <w:pPr>
        <w:pStyle w:val="ListBullet"/>
        <w:spacing w:before="40" w:after="40"/>
        <w:ind w:left="360"/>
      </w:pPr>
      <w:r>
        <w:rPr>
          <w:rFonts w:ascii="Arial" w:hAnsi="Arial"/>
          <w:color w:val="111827"/>
          <w:sz w:val="20"/>
        </w:rPr>
        <w:t>American Urological Association (AUA) — Member Urologist (July 2019 – Present)</w:t>
      </w:r>
    </w:p>
    <w:p>
      <w:pPr>
        <w:pStyle w:val="ListBullet"/>
        <w:spacing w:before="40" w:after="40"/>
        <w:ind w:left="360"/>
      </w:pPr>
      <w:r>
        <w:rPr>
          <w:rFonts w:ascii="Arial" w:hAnsi="Arial"/>
          <w:color w:val="111827"/>
          <w:sz w:val="20"/>
        </w:rPr>
        <w:t>Western Section of the AUA — Member Urologist (September 2019 – Present)</w:t>
      </w:r>
    </w:p>
    <w:p>
      <w:pPr>
        <w:spacing w:before="280" w:after="80"/>
        <w:pBdr>
          <w:bottom w:val="single" w:sz="6" w:space="4" w:color="1B3A5C"/>
        </w:pBdr>
      </w:pPr>
      <w:r>
        <w:rPr>
          <w:rFonts w:ascii="Arial" w:hAnsi="Arial"/>
          <w:b/>
          <w:color w:val="1B3A5C"/>
          <w:sz w:val="18"/>
        </w:rPr>
        <w:t>HONORS &amp; AWARDS</w:t>
      </w:r>
    </w:p>
    <w:p>
      <w:pPr>
        <w:pStyle w:val="ListBullet"/>
        <w:spacing w:before="40" w:after="40"/>
        <w:ind w:left="360"/>
      </w:pPr>
      <w:r>
        <w:rPr>
          <w:rFonts w:ascii="Arial" w:hAnsi="Arial"/>
          <w:color w:val="111827"/>
          <w:sz w:val="20"/>
        </w:rPr>
        <w:t>Urology Care Foundation / Herbert Brendler, MD Medical Student Fellowship (2013) — Awarded by AUA Foundation to six medical students nationally for proposed urologic research</w:t>
      </w:r>
    </w:p>
    <w:p>
      <w:pPr>
        <w:pStyle w:val="ListBullet"/>
        <w:spacing w:before="40" w:after="40"/>
        <w:ind w:left="360"/>
      </w:pPr>
      <w:r>
        <w:rPr>
          <w:rFonts w:ascii="Arial" w:hAnsi="Arial"/>
          <w:color w:val="111827"/>
          <w:sz w:val="20"/>
        </w:rPr>
        <w:t>Research Abstract Award, Pediatric Research Day — Weill Cornell Medical College (2012)</w:t>
      </w:r>
    </w:p>
    <w:p>
      <w:pPr>
        <w:pStyle w:val="ListBullet"/>
        <w:spacing w:before="40" w:after="40"/>
        <w:ind w:left="360"/>
      </w:pPr>
      <w:r>
        <w:rPr>
          <w:rFonts w:ascii="Arial" w:hAnsi="Arial"/>
          <w:color w:val="111827"/>
          <w:sz w:val="20"/>
        </w:rPr>
        <w:t>Memorial Sloan-Kettering Cancer Center Medical Student Research Fellowship (2011)</w:t>
      </w:r>
    </w:p>
    <w:p>
      <w:pPr>
        <w:pStyle w:val="ListBullet"/>
        <w:spacing w:before="40" w:after="40"/>
        <w:ind w:left="360"/>
      </w:pPr>
      <w:r>
        <w:rPr>
          <w:rFonts w:ascii="Arial" w:hAnsi="Arial"/>
          <w:color w:val="111827"/>
          <w:sz w:val="20"/>
        </w:rPr>
        <w:t>James C. White Award, Indiana University Department of Chemistry (2010)</w:t>
      </w:r>
    </w:p>
    <w:p>
      <w:pPr>
        <w:pStyle w:val="ListBullet"/>
        <w:spacing w:before="40" w:after="40"/>
        <w:ind w:left="360"/>
      </w:pPr>
      <w:r>
        <w:rPr>
          <w:rFonts w:ascii="Arial" w:hAnsi="Arial"/>
          <w:color w:val="111827"/>
          <w:sz w:val="20"/>
        </w:rPr>
        <w:t>Phi Beta Kappa, Indiana University (2008)</w:t>
      </w:r>
    </w:p>
    <w:p>
      <w:pPr>
        <w:pStyle w:val="ListBullet"/>
        <w:spacing w:before="40" w:after="40"/>
        <w:ind w:left="360"/>
      </w:pPr>
      <w:r>
        <w:rPr>
          <w:rFonts w:ascii="Arial" w:hAnsi="Arial"/>
          <w:color w:val="111827"/>
          <w:sz w:val="20"/>
        </w:rPr>
        <w:t>Adam W. Herbert Presidential Scholarship, Indiana University (2006)</w:t>
      </w:r>
    </w:p>
    <w:p>
      <w:pPr>
        <w:spacing w:before="280" w:after="80"/>
        <w:pBdr>
          <w:bottom w:val="single" w:sz="6" w:space="4" w:color="1B3A5C"/>
        </w:pBdr>
      </w:pPr>
      <w:r>
        <w:rPr>
          <w:rFonts w:ascii="Arial" w:hAnsi="Arial"/>
          <w:b/>
          <w:color w:val="1B3A5C"/>
          <w:sz w:val="18"/>
        </w:rPr>
        <w:t>PEER-REVIEWED PUBLICATIONS</w:t>
      </w:r>
    </w:p>
    <w:p>
      <w:pPr>
        <w:spacing w:before="60" w:after="60"/>
        <w:ind w:left="432" w:hanging="432"/>
      </w:pPr>
      <w:r>
        <w:rPr>
          <w:rFonts w:ascii="Arial" w:hAnsi="Arial"/>
          <w:color w:val="111827"/>
          <w:sz w:val="19"/>
        </w:rPr>
        <w:t>1.  Seisen T, Jamzadeh A, Leow JJ, et al. Comparative Effectiveness of Adjuvant Chemotherapy Versus Observation in Patients with Adverse Features at Radical Cystectomy who Previously Received Neoadjuvant Chemotherapy. JAMA Oncol. 2018;4(2):225-229. PMID: 28837718</w:t>
      </w:r>
    </w:p>
    <w:p>
      <w:pPr>
        <w:spacing w:before="60" w:after="60"/>
        <w:ind w:left="432" w:hanging="432"/>
      </w:pPr>
      <w:r>
        <w:rPr>
          <w:rFonts w:ascii="Arial" w:hAnsi="Arial"/>
          <w:color w:val="111827"/>
          <w:sz w:val="19"/>
        </w:rPr>
        <w:t>2.  Jamzadeh AE, Xie D, Laudano MA, et al. Urodynamic Characterization Of Lower Urinary Tract Symptoms In Women Less Than 40 Years Of Age. Can J Urol. 2014;21(5):7460-4. PMID: 25347371</w:t>
      </w:r>
    </w:p>
    <w:p>
      <w:pPr>
        <w:spacing w:before="60" w:after="60"/>
        <w:ind w:left="432" w:hanging="432"/>
      </w:pPr>
      <w:r>
        <w:rPr>
          <w:rFonts w:ascii="Arial" w:hAnsi="Arial"/>
          <w:color w:val="111827"/>
          <w:sz w:val="19"/>
        </w:rPr>
        <w:t>3.  Jamzadeh AE, Xie D, Laudano M, et al. Urodynamic Characterization Of Lower Urinary Tract Symptoms In Men Less Than 40 Years Of Age. World J Urol. 2013. PMID: 23884373</w:t>
      </w:r>
    </w:p>
    <w:p>
      <w:pPr>
        <w:spacing w:before="60" w:after="60"/>
        <w:ind w:left="432" w:hanging="432"/>
      </w:pPr>
      <w:r>
        <w:rPr>
          <w:rFonts w:ascii="Arial" w:hAnsi="Arial"/>
          <w:color w:val="111827"/>
          <w:sz w:val="19"/>
        </w:rPr>
        <w:t>4.  Xylinas E, Green DA, Otto B, Jamzadeh A, et al. Robotic-Assisted Radical Cystectomy For Urothelial Carcinoma Of The Bladder: Analysis Of Complications And Oncological Outcomes In 175 Patients. Urology. 2013;82(6):1323-9. PMID: 24295248</w:t>
      </w:r>
    </w:p>
    <w:p>
      <w:pPr>
        <w:spacing w:before="60" w:after="60"/>
        <w:ind w:left="432" w:hanging="432"/>
      </w:pPr>
      <w:r>
        <w:rPr>
          <w:rFonts w:ascii="Arial" w:hAnsi="Arial"/>
          <w:color w:val="111827"/>
          <w:sz w:val="19"/>
        </w:rPr>
        <w:t>5.  Seklehner S, Laudano MA, Jamzadeh A, et al. Trends And Inequalities In The Surgical Management Of Ureteral Calculi. BJU Int. 2014;113(3):476-83. PMID: 24053734</w:t>
      </w:r>
    </w:p>
    <w:p>
      <w:pPr>
        <w:spacing w:before="60" w:after="60"/>
        <w:ind w:left="432" w:hanging="432"/>
      </w:pPr>
      <w:r>
        <w:rPr>
          <w:rFonts w:ascii="Arial" w:hAnsi="Arial"/>
          <w:color w:val="111827"/>
          <w:sz w:val="19"/>
        </w:rPr>
        <w:t>6.  Seklehner S, Laudano MA, Chughtai B, Jamzadeh A, et al. Trends In The Utilization Of Percutaneous And Open Nephrolithotomy In The Treatment Of Renal Calculi. J Endourol. 2013. PMID: 23590666</w:t>
      </w:r>
    </w:p>
    <w:p>
      <w:pPr>
        <w:spacing w:before="60" w:after="60"/>
        <w:ind w:left="432" w:hanging="432"/>
      </w:pPr>
      <w:r>
        <w:rPr>
          <w:rFonts w:ascii="Arial" w:hAnsi="Arial"/>
          <w:color w:val="111827"/>
          <w:sz w:val="19"/>
        </w:rPr>
        <w:t>7.  Kluth LA, Rieken M, Xylinas E, Jamzadeh A, et al. Gender-Specific Differences In Presentation And Outcomes Following Radical Cystectomy: An International Multi-Institutional Study Of Over 8000 Patients. Eur Urol. 2014;66(5):913-9. PMID: 24331151</w:t>
      </w:r>
    </w:p>
    <w:p>
      <w:pPr>
        <w:spacing w:before="60" w:after="60"/>
        <w:ind w:left="432" w:hanging="432"/>
      </w:pPr>
      <w:r>
        <w:rPr>
          <w:rFonts w:ascii="Arial" w:hAnsi="Arial"/>
          <w:color w:val="111827"/>
          <w:sz w:val="19"/>
        </w:rPr>
        <w:t>8.  Wang LC, Xylinas E, Kent MT, Jamzadeh A, et al. Combining Smoking Information And Molecular Markers Improves Prognostication In Patients With Urothelial Carcinoma Of The Bladder. Urol Oncol. 2014;32(4):433-40. PMID: 24433754</w:t>
      </w:r>
    </w:p>
    <w:p>
      <w:pPr>
        <w:spacing w:before="60" w:after="60"/>
        <w:ind w:left="432" w:hanging="432"/>
      </w:pPr>
      <w:r>
        <w:rPr>
          <w:rFonts w:ascii="Arial" w:hAnsi="Arial"/>
          <w:color w:val="111827"/>
          <w:sz w:val="19"/>
        </w:rPr>
        <w:t>9.  Jamzadeh A, Laudano M, Osterberg C, Goldstein M, Li P. Microsurgical denervation of the rat spermatic cord and its connection to the diagnosis and treatment of chronic orchialgia. Transl Androl Urol. 2014;3(1):89-93. PMID: 26816756</w:t>
      </w:r>
    </w:p>
    <w:p>
      <w:pPr>
        <w:spacing w:before="60" w:after="60"/>
        <w:ind w:left="432" w:hanging="432"/>
      </w:pPr>
      <w:r>
        <w:rPr>
          <w:rFonts w:ascii="Arial" w:hAnsi="Arial"/>
          <w:color w:val="111827"/>
          <w:sz w:val="19"/>
        </w:rPr>
        <w:t>10.  Laudano M, Jamzadeh A, Lee R, et al. Pathologic Outcomes Following Urethral Diverticulectomy in Women. Adv Urol. 2014. PMID: 24860605</w:t>
      </w:r>
    </w:p>
    <w:p>
      <w:pPr>
        <w:spacing w:before="60" w:after="60"/>
        <w:ind w:left="432" w:hanging="432"/>
      </w:pPr>
      <w:r>
        <w:rPr>
          <w:rFonts w:ascii="Arial" w:hAnsi="Arial"/>
          <w:color w:val="111827"/>
          <w:sz w:val="19"/>
        </w:rPr>
        <w:t>11.  Jamzadeh A, Reiffel AJ, Kovanlikaya A, Spigland N. Concurrent Hypertrophic Pyloric Stenosis And Gastroschisis. Journal of Pediatric Surgery – Case Reports. [In Press]</w:t>
      </w:r>
    </w:p>
    <w:p>
      <w:pPr>
        <w:spacing w:before="280" w:after="80"/>
        <w:pBdr>
          <w:bottom w:val="single" w:sz="6" w:space="4" w:color="1B3A5C"/>
        </w:pBdr>
      </w:pPr>
      <w:r>
        <w:rPr>
          <w:rFonts w:ascii="Arial" w:hAnsi="Arial"/>
          <w:b/>
          <w:color w:val="1B3A5C"/>
          <w:sz w:val="18"/>
        </w:rPr>
        <w:t>BOOK CHAPTER</w:t>
      </w:r>
    </w:p>
    <w:p>
      <w:pPr>
        <w:spacing w:before="40" w:after="40"/>
        <w:jc w:val="left"/>
      </w:pPr>
      <w:r>
        <w:rPr>
          <w:rFonts w:ascii="Arial" w:hAnsi="Arial"/>
          <w:b w:val="0"/>
          <w:i w:val="0"/>
          <w:color w:val="111827"/>
          <w:sz w:val="19"/>
        </w:rPr>
        <w:t>Jamzadeh A, Chughtai B. Plasma Kinetic Button Vaporization of the Prostate. In: Te, Chughtai &amp; Kaplan's Treatment of Benign Prostatic Hyperplasia: Modern Techniques. Springer. [In Press]</w:t>
      </w:r>
    </w:p>
    <w:p>
      <w:pPr>
        <w:spacing w:before="280" w:after="80"/>
        <w:pBdr>
          <w:bottom w:val="single" w:sz="6" w:space="4" w:color="1B3A5C"/>
        </w:pBdr>
      </w:pPr>
      <w:r>
        <w:rPr>
          <w:rFonts w:ascii="Arial" w:hAnsi="Arial"/>
          <w:b/>
          <w:color w:val="1B3A5C"/>
          <w:sz w:val="18"/>
        </w:rPr>
        <w:t>SELECTED RESEARCH EXPERIENCE</w:t>
      </w:r>
    </w:p>
    <w:p>
      <w:pPr>
        <w:spacing w:before="160" w:after="20"/>
      </w:pPr>
      <w:r>
        <w:rPr>
          <w:rFonts w:ascii="Arial" w:hAnsi="Arial"/>
          <w:b/>
          <w:color w:val="111827"/>
          <w:sz w:val="21"/>
        </w:rPr>
        <w:t>Urology Care Foundation / Herbert Brendler, MD Fellow</w:t>
      </w:r>
      <w:r>
        <w:rPr>
          <w:rFonts w:ascii="Arial" w:hAnsi="Arial"/>
          <w:color w:val="6B7280"/>
          <w:sz w:val="20"/>
        </w:rPr>
        <w:t xml:space="preserve">  |  New York-Presbyterian Hospital–Cornell, New York, NY</w:t>
      </w:r>
    </w:p>
    <w:p>
      <w:pPr>
        <w:spacing w:before="0" w:after="40"/>
      </w:pPr>
      <w:r>
        <w:rPr>
          <w:rFonts w:ascii="Arial" w:hAnsi="Arial"/>
          <w:i/>
          <w:color w:val="6B7280"/>
          <w:sz w:val="18"/>
        </w:rPr>
        <w:t>April 2013 – May 2014</w:t>
      </w:r>
    </w:p>
    <w:p>
      <w:pPr>
        <w:spacing w:before="40" w:after="80"/>
      </w:pPr>
      <w:r>
        <w:rPr>
          <w:rFonts w:ascii="Arial" w:hAnsi="Arial"/>
          <w:color w:val="111827"/>
          <w:sz w:val="20"/>
        </w:rPr>
        <w:t>Research in trends and inequalities in the management of ureteral and renal calculi; characterization of lower urinary tract symptoms in young men and women.</w:t>
      </w:r>
    </w:p>
    <w:p>
      <w:pPr>
        <w:spacing w:before="160" w:after="20"/>
      </w:pPr>
      <w:r>
        <w:rPr>
          <w:rFonts w:ascii="Arial" w:hAnsi="Arial"/>
          <w:b/>
          <w:color w:val="111827"/>
          <w:sz w:val="21"/>
        </w:rPr>
        <w:t>Urology Clinical Researcher</w:t>
      </w:r>
      <w:r>
        <w:rPr>
          <w:rFonts w:ascii="Arial" w:hAnsi="Arial"/>
          <w:color w:val="6B7280"/>
          <w:sz w:val="20"/>
        </w:rPr>
        <w:t xml:space="preserve">  |  New York-Presbyterian Hospital–Cornell — Drs. Scherr &amp; Shariat</w:t>
      </w:r>
    </w:p>
    <w:p>
      <w:pPr>
        <w:spacing w:before="0" w:after="40"/>
      </w:pPr>
      <w:r>
        <w:rPr>
          <w:rFonts w:ascii="Arial" w:hAnsi="Arial"/>
          <w:i/>
          <w:color w:val="6B7280"/>
          <w:sz w:val="18"/>
        </w:rPr>
        <w:t>June 2011 – May 2014</w:t>
      </w:r>
    </w:p>
    <w:p>
      <w:pPr>
        <w:spacing w:before="40" w:after="80"/>
      </w:pPr>
      <w:r>
        <w:rPr>
          <w:rFonts w:ascii="Arial" w:hAnsi="Arial"/>
          <w:color w:val="111827"/>
          <w:sz w:val="20"/>
        </w:rPr>
        <w:t>Outcomes from surgical management of venous thrombi from renal cell carcinoma; bladder cancer prognostic factors and robotic radical cystectomy outcomes.</w:t>
      </w:r>
    </w:p>
    <w:p>
      <w:pPr>
        <w:spacing w:before="160" w:after="20"/>
      </w:pPr>
      <w:r>
        <w:rPr>
          <w:rFonts w:ascii="Arial" w:hAnsi="Arial"/>
          <w:b/>
          <w:color w:val="111827"/>
          <w:sz w:val="21"/>
        </w:rPr>
        <w:t>Urology Clinical Researcher</w:t>
      </w:r>
      <w:r>
        <w:rPr>
          <w:rFonts w:ascii="Arial" w:hAnsi="Arial"/>
          <w:color w:val="6B7280"/>
          <w:sz w:val="20"/>
        </w:rPr>
        <w:t xml:space="preserve">  |  Memorial Sloan-Kettering Cancer Center — Dr. John Mulhall</w:t>
      </w:r>
    </w:p>
    <w:p>
      <w:pPr>
        <w:spacing w:before="0" w:after="40"/>
      </w:pPr>
      <w:r>
        <w:rPr>
          <w:rFonts w:ascii="Arial" w:hAnsi="Arial"/>
          <w:i/>
          <w:color w:val="6B7280"/>
          <w:sz w:val="18"/>
        </w:rPr>
        <w:t>August 2011 – August 2012</w:t>
      </w:r>
    </w:p>
    <w:p>
      <w:pPr>
        <w:spacing w:before="40" w:after="80"/>
      </w:pPr>
      <w:r>
        <w:rPr>
          <w:rFonts w:ascii="Arial" w:hAnsi="Arial"/>
          <w:color w:val="111827"/>
          <w:sz w:val="20"/>
        </w:rPr>
        <w:t>Male sexual medicine including penile prosthesis implantation and management of erectile dysfunction post-surgery.</w:t>
      </w:r>
    </w:p>
    <w:p>
      <w:pPr>
        <w:spacing w:before="280" w:after="80"/>
        <w:pBdr>
          <w:bottom w:val="single" w:sz="6" w:space="4" w:color="1B3A5C"/>
        </w:pBdr>
      </w:pPr>
      <w:r>
        <w:rPr>
          <w:rFonts w:ascii="Arial" w:hAnsi="Arial"/>
          <w:b/>
          <w:color w:val="1B3A5C"/>
          <w:sz w:val="18"/>
        </w:rPr>
        <w:t>EXPERT WITNESS FEE SCHEDULE</w:t>
      </w:r>
    </w:p>
    <w:tbl>
      <w:tblPr>
        <w:tblStyle w:val="TableGrid"/>
        <w:tblW w:type="auto" w:w="0"/>
        <w:tblLook w:firstColumn="1" w:firstRow="1" w:lastColumn="0" w:lastRow="0" w:noHBand="0" w:noVBand="1" w:val="04A0"/>
      </w:tblPr>
      <w:tblGrid>
        <w:gridCol w:w="4680"/>
        <w:gridCol w:w="4680"/>
      </w:tblGrid>
      <w:tr>
        <w:tc>
          <w:tcPr>
            <w:tcW w:type="dxa" w:w="4680"/>
            <w:tcBorders>
              <w:top w:val="single" w:sz="4" w:space="0" w:color="DDDDDD"/>
              <w:left w:val="single" w:sz="4" w:space="0" w:color="DDDDDD"/>
              <w:bottom w:val="single" w:sz="4" w:space="0" w:color="DDDDDD"/>
              <w:right w:val="single" w:sz="4" w:space="0" w:color="DDDDDD"/>
            </w:tcBorders>
            <w:shd w:val="clear" w:color="auto" w:fill="1B3A5C"/>
          </w:tcPr>
          <w:p>
            <w:pPr>
              <w:spacing w:before="60" w:after="60"/>
              <w:ind w:left="115"/>
            </w:pPr>
            <w:r>
              <w:rPr>
                <w:rFonts w:ascii="Arial" w:hAnsi="Arial"/>
                <w:b/>
                <w:color w:val="FFFFFF"/>
                <w:sz w:val="20"/>
              </w:rPr>
              <w:t>Service</w:t>
            </w:r>
          </w:p>
        </w:tc>
        <w:tc>
          <w:tcPr>
            <w:tcW w:type="dxa" w:w="4680"/>
            <w:tcBorders>
              <w:top w:val="single" w:sz="4" w:space="0" w:color="DDDDDD"/>
              <w:left w:val="single" w:sz="4" w:space="0" w:color="DDDDDD"/>
              <w:bottom w:val="single" w:sz="4" w:space="0" w:color="DDDDDD"/>
              <w:right w:val="single" w:sz="4" w:space="0" w:color="DDDDDD"/>
            </w:tcBorders>
            <w:shd w:val="clear" w:color="auto" w:fill="1B3A5C"/>
          </w:tcPr>
          <w:p>
            <w:pPr>
              <w:spacing w:before="60" w:after="60"/>
              <w:ind w:left="115"/>
            </w:pPr>
            <w:r>
              <w:rPr>
                <w:rFonts w:ascii="Arial" w:hAnsi="Arial"/>
                <w:b/>
                <w:color w:val="FFFFFF"/>
                <w:sz w:val="20"/>
              </w:rPr>
              <w:t>Rate</w:t>
            </w:r>
          </w:p>
        </w:tc>
      </w:tr>
      <w:tr>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15"/>
            </w:pPr>
            <w:r>
              <w:rPr>
                <w:rFonts w:ascii="Arial" w:hAnsi="Arial"/>
                <w:b w:val="0"/>
                <w:color w:val="111827"/>
                <w:sz w:val="20"/>
              </w:rPr>
              <w:t>Record Review</w:t>
            </w:r>
          </w:p>
        </w:tc>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15"/>
            </w:pPr>
            <w:r>
              <w:rPr>
                <w:rFonts w:ascii="Arial" w:hAnsi="Arial"/>
                <w:b w:val="0"/>
                <w:color w:val="111827"/>
                <w:sz w:val="20"/>
              </w:rPr>
              <w:t>$500 / hour</w:t>
            </w:r>
          </w:p>
        </w:tc>
      </w:tr>
      <w:tr>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15"/>
            </w:pPr>
            <w:r>
              <w:rPr>
                <w:rFonts w:ascii="Arial" w:hAnsi="Arial"/>
                <w:b w:val="0"/>
                <w:color w:val="111827"/>
                <w:sz w:val="20"/>
              </w:rPr>
              <w:t>Written Report / Expert Opinion</w:t>
            </w:r>
          </w:p>
        </w:tc>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15"/>
            </w:pPr>
            <w:r>
              <w:rPr>
                <w:rFonts w:ascii="Arial" w:hAnsi="Arial"/>
                <w:b w:val="0"/>
                <w:color w:val="111827"/>
                <w:sz w:val="20"/>
              </w:rPr>
              <w:t>$600 / hour</w:t>
            </w:r>
          </w:p>
        </w:tc>
      </w:tr>
      <w:tr>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15"/>
            </w:pPr>
            <w:r>
              <w:rPr>
                <w:rFonts w:ascii="Arial" w:hAnsi="Arial"/>
                <w:b w:val="0"/>
                <w:color w:val="111827"/>
                <w:sz w:val="20"/>
              </w:rPr>
              <w:t>Deposition (2-hour minimum)</w:t>
            </w:r>
          </w:p>
        </w:tc>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15"/>
            </w:pPr>
            <w:r>
              <w:rPr>
                <w:rFonts w:ascii="Arial" w:hAnsi="Arial"/>
                <w:b w:val="0"/>
                <w:color w:val="111827"/>
                <w:sz w:val="20"/>
              </w:rPr>
              <w:t>$800 / hour</w:t>
            </w:r>
          </w:p>
        </w:tc>
      </w:tr>
      <w:tr>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15"/>
            </w:pPr>
            <w:r>
              <w:rPr>
                <w:rFonts w:ascii="Arial" w:hAnsi="Arial"/>
                <w:b w:val="0"/>
                <w:color w:val="111827"/>
                <w:sz w:val="20"/>
              </w:rPr>
              <w:t>Trial Testimony</w:t>
            </w:r>
          </w:p>
        </w:tc>
        <w:tc>
          <w:tcPr>
            <w:tcW w:type="dxa" w:w="4680"/>
            <w:tcBorders>
              <w:top w:val="single" w:sz="4" w:space="0" w:color="DDDDDD"/>
              <w:left w:val="single" w:sz="4" w:space="0" w:color="DDDDDD"/>
              <w:bottom w:val="single" w:sz="4" w:space="0" w:color="DDDDDD"/>
              <w:right w:val="single" w:sz="4" w:space="0" w:color="DDDDDD"/>
            </w:tcBorders>
            <w:shd w:val="clear" w:color="auto" w:fill="F2F4F7"/>
          </w:tcPr>
          <w:p>
            <w:pPr>
              <w:spacing w:before="60" w:after="60"/>
              <w:ind w:left="115"/>
            </w:pPr>
            <w:r>
              <w:rPr>
                <w:rFonts w:ascii="Arial" w:hAnsi="Arial"/>
                <w:b w:val="0"/>
                <w:color w:val="111827"/>
                <w:sz w:val="20"/>
              </w:rPr>
              <w:t>$1,500 / hour</w:t>
            </w:r>
          </w:p>
        </w:tc>
      </w:tr>
      <w:tr>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15"/>
            </w:pPr>
            <w:r>
              <w:rPr>
                <w:rFonts w:ascii="Arial" w:hAnsi="Arial"/>
                <w:b w:val="0"/>
                <w:color w:val="111827"/>
                <w:sz w:val="20"/>
              </w:rPr>
              <w:t>Required Retainer (prior to engagement)</w:t>
            </w:r>
          </w:p>
        </w:tc>
        <w:tc>
          <w:tcPr>
            <w:tcW w:type="dxa" w:w="4680"/>
            <w:tcBorders>
              <w:top w:val="single" w:sz="4" w:space="0" w:color="DDDDDD"/>
              <w:left w:val="single" w:sz="4" w:space="0" w:color="DDDDDD"/>
              <w:bottom w:val="single" w:sz="4" w:space="0" w:color="DDDDDD"/>
              <w:right w:val="single" w:sz="4" w:space="0" w:color="DDDDDD"/>
            </w:tcBorders>
          </w:tcPr>
          <w:p>
            <w:pPr>
              <w:spacing w:before="60" w:after="60"/>
              <w:ind w:left="115"/>
            </w:pPr>
            <w:r>
              <w:rPr>
                <w:rFonts w:ascii="Arial" w:hAnsi="Arial"/>
                <w:b w:val="0"/>
                <w:color w:val="111827"/>
                <w:sz w:val="20"/>
              </w:rPr>
              <w:t>$3,000</w:t>
            </w:r>
          </w:p>
        </w:tc>
      </w:tr>
    </w:tbl>
    <w:p>
      <w:pPr>
        <w:spacing w:before="80" w:after="40"/>
        <w:jc w:val="left"/>
      </w:pPr>
      <w:r>
        <w:rPr>
          <w:rFonts w:ascii="Arial" w:hAnsi="Arial"/>
          <w:b w:val="0"/>
          <w:i/>
          <w:color w:val="6B7280"/>
          <w:sz w:val="18"/>
        </w:rPr>
        <w:t>All fees are due regardless of case outcome. Travel time and expenses billed separately.</w:t>
      </w:r>
    </w:p>
    <w:p>
      <w:pPr>
        <w:spacing w:before="280" w:after="80"/>
        <w:pBdr>
          <w:bottom w:val="single" w:sz="6" w:space="4" w:color="1B3A5C"/>
        </w:pBdr>
      </w:pPr>
      <w:r>
        <w:rPr>
          <w:rFonts w:ascii="Arial" w:hAnsi="Arial"/>
          <w:b/>
          <w:color w:val="1B3A5C"/>
          <w:sz w:val="18"/>
        </w:rPr>
        <w:t>CONTACT &amp; AVAILABILITY</w:t>
      </w:r>
    </w:p>
    <w:p>
      <w:pPr>
        <w:spacing w:before="40" w:after="40"/>
      </w:pPr>
      <w:r>
        <w:rPr>
          <w:rFonts w:ascii="Arial" w:hAnsi="Arial"/>
          <w:b/>
          <w:color w:val="1B3A5C"/>
          <w:sz w:val="20"/>
        </w:rPr>
        <w:t xml:space="preserve">Phone: </w:t>
      </w:r>
      <w:r>
        <w:rPr>
          <w:rFonts w:ascii="Arial" w:hAnsi="Arial"/>
          <w:color w:val="111827"/>
          <w:sz w:val="20"/>
        </w:rPr>
        <w:t>317-965-7367</w:t>
      </w:r>
    </w:p>
    <w:p>
      <w:pPr>
        <w:spacing w:before="40" w:after="40"/>
      </w:pPr>
      <w:r>
        <w:rPr>
          <w:rFonts w:ascii="Arial" w:hAnsi="Arial"/>
          <w:b/>
          <w:color w:val="1B3A5C"/>
          <w:sz w:val="20"/>
        </w:rPr>
        <w:t xml:space="preserve">Email: </w:t>
      </w:r>
      <w:r>
        <w:rPr>
          <w:rFonts w:ascii="Arial" w:hAnsi="Arial"/>
          <w:color w:val="111827"/>
          <w:sz w:val="20"/>
        </w:rPr>
        <w:t>drjamzadehexpert@gmail.com</w:t>
      </w:r>
    </w:p>
    <w:p>
      <w:pPr>
        <w:spacing w:before="40" w:after="40"/>
      </w:pPr>
      <w:r>
        <w:rPr>
          <w:rFonts w:ascii="Arial" w:hAnsi="Arial"/>
          <w:b/>
          <w:color w:val="1B3A5C"/>
          <w:sz w:val="20"/>
        </w:rPr>
        <w:t xml:space="preserve">Location: </w:t>
      </w:r>
      <w:r>
        <w:rPr>
          <w:rFonts w:ascii="Arial" w:hAnsi="Arial"/>
          <w:color w:val="111827"/>
          <w:sz w:val="20"/>
        </w:rPr>
        <w:t>San Diego, California</w:t>
      </w:r>
    </w:p>
    <w:p>
      <w:pPr>
        <w:spacing w:before="40" w:after="40"/>
      </w:pPr>
      <w:r>
        <w:rPr>
          <w:rFonts w:ascii="Arial" w:hAnsi="Arial"/>
          <w:b/>
          <w:color w:val="1B3A5C"/>
          <w:sz w:val="20"/>
        </w:rPr>
        <w:t xml:space="preserve">Availability: </w:t>
      </w:r>
      <w:r>
        <w:rPr>
          <w:rFonts w:ascii="Arial" w:hAnsi="Arial"/>
          <w:color w:val="111827"/>
          <w:sz w:val="20"/>
        </w:rPr>
        <w:t>Available for record review, written reports, deposition, and trial testimony</w:t>
      </w:r>
    </w:p>
    <w:p>
      <w:pPr>
        <w:spacing w:before="120" w:after="40"/>
        <w:jc w:val="left"/>
      </w:pPr>
      <w:r>
        <w:rPr>
          <w:rFonts w:ascii="Arial" w:hAnsi="Arial"/>
          <w:b w:val="0"/>
          <w:i/>
          <w:color w:val="6B7280"/>
          <w:sz w:val="18"/>
        </w:rPr>
        <w:t>References and prior case experience available upon request.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