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4A0" w:firstRow="1" w:lastRow="0" w:firstColumn="1" w:lastColumn="0" w:noHBand="0" w:noVBand="1"/>
      </w:tblPr>
      <w:tblGrid>
        <w:gridCol w:w="5112"/>
        <w:gridCol w:w="5112"/>
      </w:tblGrid>
      <w:tr w:rsidR="00914C85" w14:paraId="0FD029AD" w14:textId="77777777">
        <w:trPr>
          <w:jc w:val="center"/>
        </w:trPr>
        <w:tc>
          <w:tcPr>
            <w:tcW w:w="5112" w:type="dxa"/>
            <w:tcMar>
              <w:top w:w="40" w:type="dxa"/>
              <w:left w:w="40" w:type="dxa"/>
              <w:bottom w:w="20" w:type="dxa"/>
              <w:right w:w="40" w:type="dxa"/>
            </w:tcMar>
            <w:vAlign w:val="center"/>
          </w:tcPr>
          <w:p w14:paraId="62CD3455" w14:textId="77777777" w:rsidR="00914C85" w:rsidRDefault="00000000">
            <w:pPr>
              <w:pStyle w:val="CVName"/>
              <w:spacing w:after="20"/>
              <w:rPr>
                <w:rFonts w:hint="eastAsia"/>
              </w:rPr>
            </w:pPr>
            <w:r>
              <w:t>Mary V. Mason, MD, MBA, FACP</w:t>
            </w:r>
          </w:p>
          <w:p w14:paraId="755D9B75" w14:textId="77777777" w:rsidR="00914C85" w:rsidRDefault="00000000">
            <w:pPr>
              <w:rPr>
                <w:rFonts w:hint="eastAsia"/>
              </w:rPr>
            </w:pPr>
            <w:r>
              <w:rPr>
                <w:b/>
                <w:color w:val="506070"/>
              </w:rPr>
              <w:t>Physician Executive | Managed Care Expert | Expert Witness Consultant</w:t>
            </w:r>
          </w:p>
          <w:p w14:paraId="2321DE01" w14:textId="77777777" w:rsidR="00914C85" w:rsidRDefault="00000000">
            <w:pPr>
              <w:spacing w:after="0"/>
              <w:rPr>
                <w:rFonts w:hint="eastAsia"/>
              </w:rPr>
            </w:pPr>
            <w:r>
              <w:rPr>
                <w:sz w:val="19"/>
              </w:rPr>
              <w:t>St. Louis, Missouri  •  masonm@wustl.edu  •  314-737-1200</w:t>
            </w:r>
          </w:p>
        </w:tc>
        <w:tc>
          <w:tcPr>
            <w:tcW w:w="5112" w:type="dxa"/>
            <w:tcMar>
              <w:top w:w="40" w:type="dxa"/>
              <w:left w:w="40" w:type="dxa"/>
              <w:bottom w:w="20" w:type="dxa"/>
              <w:right w:w="40" w:type="dxa"/>
            </w:tcMar>
            <w:vAlign w:val="center"/>
          </w:tcPr>
          <w:p w14:paraId="654E81A3" w14:textId="77777777" w:rsidR="00914C85" w:rsidRDefault="00000000">
            <w:pPr>
              <w:jc w:val="right"/>
              <w:rPr>
                <w:rFonts w:hint="eastAsia"/>
              </w:rPr>
            </w:pPr>
            <w:r>
              <w:rPr>
                <w:noProof/>
              </w:rPr>
              <w:drawing>
                <wp:inline distT="0" distB="0" distL="0" distR="0" wp14:anchorId="434A6E5A" wp14:editId="19785095">
                  <wp:extent cx="9144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2BFC6B7-3301-417A-8F60-1FCD9C4E065E.jpeg"/>
                          <pic:cNvPicPr/>
                        </pic:nvPicPr>
                        <pic:blipFill>
                          <a:blip r:embed="rId8"/>
                          <a:stretch>
                            <a:fillRect/>
                          </a:stretch>
                        </pic:blipFill>
                        <pic:spPr>
                          <a:xfrm>
                            <a:off x="0" y="0"/>
                            <a:ext cx="914400" cy="914400"/>
                          </a:xfrm>
                          <a:prstGeom prst="rect">
                            <a:avLst/>
                          </a:prstGeom>
                        </pic:spPr>
                      </pic:pic>
                    </a:graphicData>
                  </a:graphic>
                </wp:inline>
              </w:drawing>
            </w:r>
          </w:p>
        </w:tc>
      </w:tr>
    </w:tbl>
    <w:p w14:paraId="3FDB950F" w14:textId="77777777" w:rsidR="00914C85" w:rsidRDefault="00914C85">
      <w:pPr>
        <w:pBdr>
          <w:bottom w:val="single" w:sz="8" w:space="1" w:color="B8C4D4"/>
        </w:pBdr>
        <w:rPr>
          <w:rFonts w:hint="eastAsia"/>
        </w:rPr>
      </w:pPr>
    </w:p>
    <w:p w14:paraId="65F237AA" w14:textId="77777777" w:rsidR="00914C85" w:rsidRDefault="00000000">
      <w:pPr>
        <w:pStyle w:val="CVSection"/>
        <w:spacing w:before="160" w:after="64"/>
        <w:rPr>
          <w:rFonts w:hint="eastAsia"/>
        </w:rPr>
      </w:pPr>
      <w:r>
        <w:t>PROFESSIONAL PROFILE</w:t>
      </w:r>
    </w:p>
    <w:p w14:paraId="184E5F15" w14:textId="77777777" w:rsidR="00914C85" w:rsidRDefault="00000000">
      <w:pPr>
        <w:spacing w:after="64"/>
        <w:rPr>
          <w:rFonts w:hint="eastAsia"/>
        </w:rPr>
      </w:pPr>
      <w:r>
        <w:t>Physician executive, internist, educator, and founder with 27 years of managed care experience spanning Medicaid, Medicare, Dual Eligible / D-SNP, Marketplace, population health, utilization strategy, quality performance, health literacy, and enterprise healthcare leadership.</w:t>
      </w:r>
    </w:p>
    <w:p w14:paraId="11A278CE" w14:textId="77777777" w:rsidR="00914C85" w:rsidRDefault="00000000">
      <w:pPr>
        <w:spacing w:after="64"/>
        <w:rPr>
          <w:rFonts w:hint="eastAsia"/>
        </w:rPr>
      </w:pPr>
      <w:r>
        <w:t>Former C-suite executive and lead Chief Medical Officer for Centene for nine years, with public-company leadership experience that included Section 16 officer responsibilities, investor-facing communications, enterprise clinical strategy, medical policy oversight, and board and committee engagement.</w:t>
      </w:r>
    </w:p>
    <w:p w14:paraId="210137F3" w14:textId="77777777" w:rsidR="00914C85" w:rsidRDefault="00000000">
      <w:pPr>
        <w:spacing w:after="64"/>
        <w:rPr>
          <w:rFonts w:hint="eastAsia"/>
        </w:rPr>
      </w:pPr>
      <w:r>
        <w:t>Active expert advisor through Mason Med Stat, with experience working alongside corporate lawyers and compliance officers on medical affairs matters, depositions, fair hearing preparation, and state and congressional committee meetings involving managed care issues.</w:t>
      </w:r>
    </w:p>
    <w:p w14:paraId="46CC3932" w14:textId="77777777" w:rsidR="00914C85" w:rsidRDefault="00000000">
      <w:pPr>
        <w:pStyle w:val="CVSection"/>
        <w:spacing w:before="160" w:after="64"/>
        <w:rPr>
          <w:rFonts w:hint="eastAsia"/>
        </w:rPr>
      </w:pPr>
      <w:r>
        <w:t>AREAS OF EXPERTISE</w:t>
      </w:r>
    </w:p>
    <w:tbl>
      <w:tblPr>
        <w:tblW w:w="0" w:type="auto"/>
        <w:jc w:val="center"/>
        <w:tblLayout w:type="fixed"/>
        <w:tblLook w:val="04A0" w:firstRow="1" w:lastRow="0" w:firstColumn="1" w:lastColumn="0" w:noHBand="0" w:noVBand="1"/>
      </w:tblPr>
      <w:tblGrid>
        <w:gridCol w:w="4608"/>
        <w:gridCol w:w="4608"/>
      </w:tblGrid>
      <w:tr w:rsidR="00914C85" w14:paraId="32A7272B" w14:textId="77777777">
        <w:trPr>
          <w:jc w:val="center"/>
        </w:trPr>
        <w:tc>
          <w:tcPr>
            <w:tcW w:w="4608" w:type="dxa"/>
            <w:shd w:val="clear" w:color="auto" w:fill="F5F8FC"/>
            <w:tcMar>
              <w:top w:w="55" w:type="dxa"/>
              <w:left w:w="75" w:type="dxa"/>
              <w:bottom w:w="55" w:type="dxa"/>
              <w:right w:w="75" w:type="dxa"/>
            </w:tcMar>
            <w:vAlign w:val="center"/>
          </w:tcPr>
          <w:p w14:paraId="23BB1DCA" w14:textId="77777777" w:rsidR="00914C85" w:rsidRDefault="00000000">
            <w:pPr>
              <w:spacing w:after="0"/>
              <w:rPr>
                <w:rFonts w:hint="eastAsia"/>
              </w:rPr>
            </w:pPr>
            <w:r>
              <w:rPr>
                <w:sz w:val="19"/>
              </w:rPr>
              <w:t>• Medicaid managed care</w:t>
            </w:r>
          </w:p>
        </w:tc>
        <w:tc>
          <w:tcPr>
            <w:tcW w:w="4608" w:type="dxa"/>
            <w:shd w:val="clear" w:color="auto" w:fill="F5F8FC"/>
            <w:tcMar>
              <w:top w:w="55" w:type="dxa"/>
              <w:left w:w="75" w:type="dxa"/>
              <w:bottom w:w="55" w:type="dxa"/>
              <w:right w:w="75" w:type="dxa"/>
            </w:tcMar>
            <w:vAlign w:val="center"/>
          </w:tcPr>
          <w:p w14:paraId="5C729411" w14:textId="77777777" w:rsidR="00914C85" w:rsidRDefault="00000000">
            <w:pPr>
              <w:spacing w:after="0"/>
              <w:rPr>
                <w:rFonts w:hint="eastAsia"/>
              </w:rPr>
            </w:pPr>
            <w:r>
              <w:rPr>
                <w:sz w:val="19"/>
              </w:rPr>
              <w:t>• Medicare Advantage and Marketplace</w:t>
            </w:r>
          </w:p>
        </w:tc>
      </w:tr>
      <w:tr w:rsidR="00914C85" w14:paraId="403C45F9" w14:textId="77777777">
        <w:trPr>
          <w:jc w:val="center"/>
        </w:trPr>
        <w:tc>
          <w:tcPr>
            <w:tcW w:w="4608" w:type="dxa"/>
            <w:tcMar>
              <w:top w:w="55" w:type="dxa"/>
              <w:left w:w="75" w:type="dxa"/>
              <w:bottom w:w="55" w:type="dxa"/>
              <w:right w:w="75" w:type="dxa"/>
            </w:tcMar>
            <w:vAlign w:val="center"/>
          </w:tcPr>
          <w:p w14:paraId="5196720A" w14:textId="77777777" w:rsidR="00914C85" w:rsidRDefault="00000000">
            <w:pPr>
              <w:spacing w:after="0"/>
              <w:rPr>
                <w:rFonts w:hint="eastAsia"/>
              </w:rPr>
            </w:pPr>
            <w:r>
              <w:rPr>
                <w:sz w:val="19"/>
              </w:rPr>
              <w:t>• Dual Eligible and D-SNP strategy</w:t>
            </w:r>
          </w:p>
        </w:tc>
        <w:tc>
          <w:tcPr>
            <w:tcW w:w="4608" w:type="dxa"/>
            <w:tcMar>
              <w:top w:w="55" w:type="dxa"/>
              <w:left w:w="75" w:type="dxa"/>
              <w:bottom w:w="55" w:type="dxa"/>
              <w:right w:w="75" w:type="dxa"/>
            </w:tcMar>
            <w:vAlign w:val="center"/>
          </w:tcPr>
          <w:p w14:paraId="13A1C62C" w14:textId="77777777" w:rsidR="00914C85" w:rsidRDefault="00000000">
            <w:pPr>
              <w:spacing w:after="0"/>
              <w:rPr>
                <w:rFonts w:hint="eastAsia"/>
              </w:rPr>
            </w:pPr>
            <w:r>
              <w:rPr>
                <w:sz w:val="19"/>
              </w:rPr>
              <w:t>• Utilization management and medical policy</w:t>
            </w:r>
          </w:p>
        </w:tc>
      </w:tr>
      <w:tr w:rsidR="00914C85" w14:paraId="2F48DCC5" w14:textId="77777777">
        <w:trPr>
          <w:jc w:val="center"/>
        </w:trPr>
        <w:tc>
          <w:tcPr>
            <w:tcW w:w="4608" w:type="dxa"/>
            <w:shd w:val="clear" w:color="auto" w:fill="F5F8FC"/>
            <w:tcMar>
              <w:top w:w="55" w:type="dxa"/>
              <w:left w:w="75" w:type="dxa"/>
              <w:bottom w:w="55" w:type="dxa"/>
              <w:right w:w="75" w:type="dxa"/>
            </w:tcMar>
            <w:vAlign w:val="center"/>
          </w:tcPr>
          <w:p w14:paraId="63553FF1" w14:textId="77777777" w:rsidR="00914C85" w:rsidRDefault="00000000">
            <w:pPr>
              <w:spacing w:after="0"/>
              <w:rPr>
                <w:rFonts w:hint="eastAsia"/>
              </w:rPr>
            </w:pPr>
            <w:r>
              <w:rPr>
                <w:sz w:val="19"/>
              </w:rPr>
              <w:t>• Population health and quality performance</w:t>
            </w:r>
          </w:p>
        </w:tc>
        <w:tc>
          <w:tcPr>
            <w:tcW w:w="4608" w:type="dxa"/>
            <w:shd w:val="clear" w:color="auto" w:fill="F5F8FC"/>
            <w:tcMar>
              <w:top w:w="55" w:type="dxa"/>
              <w:left w:w="75" w:type="dxa"/>
              <w:bottom w:w="55" w:type="dxa"/>
              <w:right w:w="75" w:type="dxa"/>
            </w:tcMar>
            <w:vAlign w:val="center"/>
          </w:tcPr>
          <w:p w14:paraId="5882DC43" w14:textId="77777777" w:rsidR="00914C85" w:rsidRDefault="00000000">
            <w:pPr>
              <w:spacing w:after="0"/>
              <w:rPr>
                <w:rFonts w:hint="eastAsia"/>
              </w:rPr>
            </w:pPr>
            <w:r>
              <w:rPr>
                <w:sz w:val="19"/>
              </w:rPr>
              <w:t>• Maternal health and chronic disease programs</w:t>
            </w:r>
          </w:p>
        </w:tc>
      </w:tr>
      <w:tr w:rsidR="00914C85" w14:paraId="0D3BDE91" w14:textId="77777777">
        <w:trPr>
          <w:jc w:val="center"/>
        </w:trPr>
        <w:tc>
          <w:tcPr>
            <w:tcW w:w="4608" w:type="dxa"/>
            <w:tcMar>
              <w:top w:w="55" w:type="dxa"/>
              <w:left w:w="75" w:type="dxa"/>
              <w:bottom w:w="55" w:type="dxa"/>
              <w:right w:w="75" w:type="dxa"/>
            </w:tcMar>
            <w:vAlign w:val="center"/>
          </w:tcPr>
          <w:p w14:paraId="194A30A9" w14:textId="77777777" w:rsidR="00914C85" w:rsidRDefault="00000000">
            <w:pPr>
              <w:spacing w:after="0"/>
              <w:rPr>
                <w:rFonts w:hint="eastAsia"/>
              </w:rPr>
            </w:pPr>
            <w:r>
              <w:rPr>
                <w:sz w:val="19"/>
              </w:rPr>
              <w:t>• Medical affairs and payer operations</w:t>
            </w:r>
          </w:p>
        </w:tc>
        <w:tc>
          <w:tcPr>
            <w:tcW w:w="4608" w:type="dxa"/>
            <w:tcMar>
              <w:top w:w="55" w:type="dxa"/>
              <w:left w:w="75" w:type="dxa"/>
              <w:bottom w:w="55" w:type="dxa"/>
              <w:right w:w="75" w:type="dxa"/>
            </w:tcMar>
            <w:vAlign w:val="center"/>
          </w:tcPr>
          <w:p w14:paraId="4E39749F" w14:textId="77777777" w:rsidR="00914C85" w:rsidRDefault="00000000">
            <w:pPr>
              <w:spacing w:after="0"/>
              <w:rPr>
                <w:rFonts w:hint="eastAsia"/>
              </w:rPr>
            </w:pPr>
            <w:r>
              <w:rPr>
                <w:sz w:val="19"/>
              </w:rPr>
              <w:t>• Health literacy and patient education</w:t>
            </w:r>
          </w:p>
        </w:tc>
      </w:tr>
      <w:tr w:rsidR="00914C85" w14:paraId="0898D6B1" w14:textId="77777777">
        <w:trPr>
          <w:jc w:val="center"/>
        </w:trPr>
        <w:tc>
          <w:tcPr>
            <w:tcW w:w="4608" w:type="dxa"/>
            <w:shd w:val="clear" w:color="auto" w:fill="F5F8FC"/>
            <w:tcMar>
              <w:top w:w="55" w:type="dxa"/>
              <w:left w:w="75" w:type="dxa"/>
              <w:bottom w:w="55" w:type="dxa"/>
              <w:right w:w="75" w:type="dxa"/>
            </w:tcMar>
            <w:vAlign w:val="center"/>
          </w:tcPr>
          <w:p w14:paraId="4CD61C3E" w14:textId="77777777" w:rsidR="00914C85" w:rsidRDefault="00000000">
            <w:pPr>
              <w:spacing w:after="0"/>
              <w:rPr>
                <w:rFonts w:hint="eastAsia"/>
              </w:rPr>
            </w:pPr>
            <w:r>
              <w:rPr>
                <w:sz w:val="19"/>
              </w:rPr>
              <w:t>• Managed care regulatory issues</w:t>
            </w:r>
          </w:p>
        </w:tc>
        <w:tc>
          <w:tcPr>
            <w:tcW w:w="4608" w:type="dxa"/>
            <w:shd w:val="clear" w:color="auto" w:fill="F5F8FC"/>
            <w:tcMar>
              <w:top w:w="55" w:type="dxa"/>
              <w:left w:w="75" w:type="dxa"/>
              <w:bottom w:w="55" w:type="dxa"/>
              <w:right w:w="75" w:type="dxa"/>
            </w:tcMar>
            <w:vAlign w:val="center"/>
          </w:tcPr>
          <w:p w14:paraId="4D065FDF" w14:textId="77777777" w:rsidR="00914C85" w:rsidRDefault="00000000">
            <w:pPr>
              <w:spacing w:after="0"/>
              <w:rPr>
                <w:rFonts w:hint="eastAsia"/>
              </w:rPr>
            </w:pPr>
            <w:r>
              <w:rPr>
                <w:sz w:val="19"/>
              </w:rPr>
              <w:t>• Provider engagement and network collaboration</w:t>
            </w:r>
          </w:p>
        </w:tc>
      </w:tr>
      <w:tr w:rsidR="00914C85" w14:paraId="5AFF7B01" w14:textId="77777777">
        <w:trPr>
          <w:jc w:val="center"/>
        </w:trPr>
        <w:tc>
          <w:tcPr>
            <w:tcW w:w="4608" w:type="dxa"/>
            <w:tcMar>
              <w:top w:w="55" w:type="dxa"/>
              <w:left w:w="75" w:type="dxa"/>
              <w:bottom w:w="55" w:type="dxa"/>
              <w:right w:w="75" w:type="dxa"/>
            </w:tcMar>
            <w:vAlign w:val="center"/>
          </w:tcPr>
          <w:p w14:paraId="6A70EE42" w14:textId="77777777" w:rsidR="00914C85" w:rsidRDefault="00000000">
            <w:pPr>
              <w:spacing w:after="0"/>
              <w:rPr>
                <w:rFonts w:hint="eastAsia"/>
              </w:rPr>
            </w:pPr>
            <w:r>
              <w:rPr>
                <w:sz w:val="19"/>
              </w:rPr>
              <w:t>• Expert review, deposition support, and fair hearings</w:t>
            </w:r>
          </w:p>
        </w:tc>
        <w:tc>
          <w:tcPr>
            <w:tcW w:w="4608" w:type="dxa"/>
            <w:tcMar>
              <w:top w:w="55" w:type="dxa"/>
              <w:left w:w="75" w:type="dxa"/>
              <w:bottom w:w="55" w:type="dxa"/>
              <w:right w:w="75" w:type="dxa"/>
            </w:tcMar>
            <w:vAlign w:val="center"/>
          </w:tcPr>
          <w:p w14:paraId="09714F65" w14:textId="77777777" w:rsidR="00914C85" w:rsidRDefault="00000000">
            <w:pPr>
              <w:spacing w:after="0"/>
              <w:rPr>
                <w:rFonts w:hint="eastAsia"/>
              </w:rPr>
            </w:pPr>
            <w:r>
              <w:rPr>
                <w:sz w:val="19"/>
              </w:rPr>
              <w:t>• AI in managed care and patient privacy</w:t>
            </w:r>
          </w:p>
        </w:tc>
      </w:tr>
    </w:tbl>
    <w:p w14:paraId="161EC0BD" w14:textId="77777777" w:rsidR="00914C85" w:rsidRDefault="00000000">
      <w:pPr>
        <w:pStyle w:val="CVSection"/>
        <w:spacing w:before="160" w:after="64"/>
        <w:rPr>
          <w:rFonts w:hint="eastAsia"/>
        </w:rPr>
      </w:pPr>
      <w:r>
        <w:t>PRIOR LEGAL AND TESTIMONY EXPERIENCE</w:t>
      </w:r>
    </w:p>
    <w:p w14:paraId="34D4D14D" w14:textId="77777777" w:rsidR="00914C85" w:rsidRDefault="00000000">
      <w:pPr>
        <w:spacing w:after="40"/>
        <w:ind w:left="317" w:hanging="202"/>
        <w:rPr>
          <w:rFonts w:hint="eastAsia"/>
        </w:rPr>
      </w:pPr>
      <w:r>
        <w:rPr>
          <w:sz w:val="19"/>
        </w:rPr>
        <w:t>• Worked directly with corporate lawyers and compliance officers on medical affairs, managed care operations, and enterprise clinical matters.</w:t>
      </w:r>
    </w:p>
    <w:p w14:paraId="636E4B1E" w14:textId="77777777" w:rsidR="00914C85" w:rsidRDefault="00000000">
      <w:pPr>
        <w:spacing w:after="40"/>
        <w:ind w:left="317" w:hanging="202"/>
        <w:rPr>
          <w:rFonts w:hint="eastAsia"/>
        </w:rPr>
      </w:pPr>
      <w:r>
        <w:rPr>
          <w:sz w:val="19"/>
        </w:rPr>
        <w:t>• Participated in deposition preparation and deposition-related work on medical affairs matters during tenure at Centene.</w:t>
      </w:r>
    </w:p>
    <w:p w14:paraId="19449711" w14:textId="77777777" w:rsidR="00914C85" w:rsidRDefault="00000000">
      <w:pPr>
        <w:spacing w:after="40"/>
        <w:ind w:left="317" w:hanging="202"/>
        <w:rPr>
          <w:rFonts w:hint="eastAsia"/>
        </w:rPr>
      </w:pPr>
      <w:r>
        <w:rPr>
          <w:sz w:val="19"/>
        </w:rPr>
        <w:t>• Supported state fair hearings involving managed care issues, regulatory interpretation, medical policy, and clinical operations.</w:t>
      </w:r>
    </w:p>
    <w:p w14:paraId="7764207E" w14:textId="77777777" w:rsidR="00914C85" w:rsidRDefault="00000000">
      <w:pPr>
        <w:spacing w:after="40"/>
        <w:ind w:left="317" w:hanging="202"/>
        <w:rPr>
          <w:rFonts w:hint="eastAsia"/>
        </w:rPr>
      </w:pPr>
      <w:r>
        <w:rPr>
          <w:sz w:val="19"/>
        </w:rPr>
        <w:t>• Contributed to preparation for state and congressional committee meetings addressing managed care and healthcare policy issues.</w:t>
      </w:r>
    </w:p>
    <w:p w14:paraId="573F8040" w14:textId="77777777" w:rsidR="00914C85" w:rsidRDefault="00000000">
      <w:pPr>
        <w:spacing w:after="40"/>
        <w:ind w:left="317" w:hanging="202"/>
        <w:rPr>
          <w:rFonts w:hint="eastAsia"/>
        </w:rPr>
      </w:pPr>
      <w:r>
        <w:rPr>
          <w:sz w:val="19"/>
        </w:rPr>
        <w:t>• Experienced in translating complex managed care, utilization management, case management, compliance, and payer strategy issues for legal, regulatory, executive, and public audiences.</w:t>
      </w:r>
    </w:p>
    <w:p w14:paraId="3A280878" w14:textId="77777777" w:rsidR="00914C85" w:rsidRDefault="00000000">
      <w:pPr>
        <w:pStyle w:val="CVSection"/>
        <w:spacing w:before="160" w:after="64"/>
        <w:rPr>
          <w:rFonts w:hint="eastAsia"/>
        </w:rPr>
      </w:pPr>
      <w:r>
        <w:t>HEALTHCARE EXECUTIVE EXPERIENCE</w:t>
      </w:r>
    </w:p>
    <w:p w14:paraId="2CD9A8AE" w14:textId="77777777" w:rsidR="00914C85" w:rsidRDefault="00000000">
      <w:pPr>
        <w:pStyle w:val="CVSubhead"/>
        <w:spacing w:after="20"/>
        <w:rPr>
          <w:rFonts w:hint="eastAsia"/>
        </w:rPr>
      </w:pPr>
      <w:r>
        <w:t>CareSource</w:t>
      </w:r>
      <w:r>
        <w:br/>
        <w:t>Senior Vice President &amp; Enterprise Chief Medical Officer | 2024–March 2026</w:t>
      </w:r>
    </w:p>
    <w:p w14:paraId="3528E0D2" w14:textId="77777777" w:rsidR="00914C85" w:rsidRDefault="00000000">
      <w:pPr>
        <w:spacing w:after="40"/>
        <w:ind w:left="317" w:hanging="202"/>
        <w:rPr>
          <w:rFonts w:hint="eastAsia"/>
        </w:rPr>
      </w:pPr>
      <w:r>
        <w:rPr>
          <w:sz w:val="19"/>
        </w:rPr>
        <w:t>• Provided enterprise clinical leadership for a nonprofit managed care organization serving Medicaid, Marketplace, and other government-sponsored populations.</w:t>
      </w:r>
    </w:p>
    <w:p w14:paraId="7C45A84F" w14:textId="77777777" w:rsidR="00914C85" w:rsidRDefault="00000000">
      <w:pPr>
        <w:spacing w:after="40"/>
        <w:ind w:left="317" w:hanging="202"/>
        <w:rPr>
          <w:rFonts w:hint="eastAsia"/>
        </w:rPr>
      </w:pPr>
      <w:r>
        <w:rPr>
          <w:sz w:val="19"/>
        </w:rPr>
        <w:t>• Led enterprise clinical strategy across multiple states, with focus on vulnerable members, quality performance, medical cost management, value-based care, and health equity.</w:t>
      </w:r>
    </w:p>
    <w:p w14:paraId="1756DE9B" w14:textId="77777777" w:rsidR="00914C85" w:rsidRDefault="00000000">
      <w:pPr>
        <w:spacing w:after="40"/>
        <w:ind w:left="317" w:hanging="202"/>
        <w:rPr>
          <w:rFonts w:hint="eastAsia"/>
        </w:rPr>
      </w:pPr>
      <w:r>
        <w:rPr>
          <w:sz w:val="19"/>
        </w:rPr>
        <w:t>• Advanced preventive care strategies involving maternal health, chronic disease, oral health integration, and interdisciplinary network collaboration.</w:t>
      </w:r>
    </w:p>
    <w:p w14:paraId="7AA6962E" w14:textId="77777777" w:rsidR="00914C85" w:rsidRDefault="00000000">
      <w:pPr>
        <w:pStyle w:val="CVSubhead"/>
        <w:spacing w:after="20"/>
        <w:rPr>
          <w:rFonts w:hint="eastAsia"/>
        </w:rPr>
      </w:pPr>
      <w:r>
        <w:lastRenderedPageBreak/>
        <w:t>Centene Corporation</w:t>
      </w:r>
      <w:r>
        <w:br/>
        <w:t>Senior Vice President &amp; Corporate Chief Medical Officer | Multiple Executive Roles | 2006–2022</w:t>
      </w:r>
    </w:p>
    <w:p w14:paraId="63DC538D" w14:textId="77777777" w:rsidR="00914C85" w:rsidRDefault="00000000">
      <w:pPr>
        <w:spacing w:after="40"/>
        <w:ind w:left="317" w:hanging="202"/>
        <w:rPr>
          <w:rFonts w:hint="eastAsia"/>
        </w:rPr>
      </w:pPr>
      <w:r>
        <w:rPr>
          <w:sz w:val="19"/>
        </w:rPr>
        <w:t>• Fortune 25 healthcare enterprise serving members nationwide across Medicaid, Medicare, Dual Eligible / D-SNP, and Marketplace products.</w:t>
      </w:r>
    </w:p>
    <w:p w14:paraId="167E3732" w14:textId="77777777" w:rsidR="00914C85" w:rsidRDefault="00000000">
      <w:pPr>
        <w:spacing w:after="40"/>
        <w:ind w:left="317" w:hanging="202"/>
        <w:rPr>
          <w:rFonts w:hint="eastAsia"/>
        </w:rPr>
      </w:pPr>
      <w:r>
        <w:rPr>
          <w:sz w:val="19"/>
        </w:rPr>
        <w:t>• Served as a C-suite executive and lead Chief Medical Officer for nine years during a period of rapid national growth across multiple lines of business.</w:t>
      </w:r>
    </w:p>
    <w:p w14:paraId="03182D05" w14:textId="77777777" w:rsidR="00914C85" w:rsidRDefault="00000000">
      <w:pPr>
        <w:spacing w:after="40"/>
        <w:ind w:left="317" w:hanging="202"/>
        <w:rPr>
          <w:rFonts w:hint="eastAsia"/>
        </w:rPr>
      </w:pPr>
      <w:r>
        <w:rPr>
          <w:sz w:val="19"/>
        </w:rPr>
        <w:t>• Led large-scale clinical programs and population health strategies affecting pregnancy outcomes, sickle cell disease, asthma, congestive heart failure, medication adherence, obesity, and opioid stewardship.</w:t>
      </w:r>
    </w:p>
    <w:p w14:paraId="5183C09A" w14:textId="77777777" w:rsidR="00914C85" w:rsidRDefault="00000000">
      <w:pPr>
        <w:spacing w:after="40"/>
        <w:ind w:left="317" w:hanging="202"/>
        <w:rPr>
          <w:rFonts w:hint="eastAsia"/>
        </w:rPr>
      </w:pPr>
      <w:r>
        <w:rPr>
          <w:sz w:val="19"/>
        </w:rPr>
        <w:t>• Supported Medicare, Dual Eligible, D-SNP, Marketplace, and Medicaid operations through enterprise clinical strategy, quality initiatives, utilization management, and cross-functional program development.</w:t>
      </w:r>
    </w:p>
    <w:p w14:paraId="4680BF18" w14:textId="77777777" w:rsidR="00914C85" w:rsidRDefault="00000000">
      <w:pPr>
        <w:spacing w:after="40"/>
        <w:ind w:left="317" w:hanging="202"/>
        <w:rPr>
          <w:rFonts w:hint="eastAsia"/>
        </w:rPr>
      </w:pPr>
      <w:r>
        <w:rPr>
          <w:sz w:val="19"/>
        </w:rPr>
        <w:t>• Participated in Pharmaceutical &amp; Therapeutics Committees, credentialing committees, and health plan board service in Georgia, South Carolina, and Massachusetts.</w:t>
      </w:r>
    </w:p>
    <w:p w14:paraId="542FE2D2" w14:textId="77777777" w:rsidR="00914C85" w:rsidRDefault="00000000">
      <w:pPr>
        <w:spacing w:after="40"/>
        <w:ind w:left="317" w:hanging="202"/>
        <w:rPr>
          <w:rFonts w:hint="eastAsia"/>
        </w:rPr>
      </w:pPr>
      <w:r>
        <w:rPr>
          <w:sz w:val="19"/>
        </w:rPr>
        <w:t>• Developed and reviewed clinical policy in utilization management, case management, and medical affairs administrative policy.</w:t>
      </w:r>
    </w:p>
    <w:p w14:paraId="4C1D69BB" w14:textId="77777777" w:rsidR="00914C85" w:rsidRDefault="00000000">
      <w:pPr>
        <w:spacing w:after="40"/>
        <w:ind w:left="317" w:hanging="202"/>
        <w:rPr>
          <w:rFonts w:hint="eastAsia"/>
        </w:rPr>
      </w:pPr>
      <w:r>
        <w:rPr>
          <w:sz w:val="19"/>
        </w:rPr>
        <w:t>• Participated in investor day, earnings, and enterprise guidance discussions; supported investor-facing communications and Section 16 officer responsibilities.</w:t>
      </w:r>
    </w:p>
    <w:p w14:paraId="1F6E03CD" w14:textId="77777777" w:rsidR="00914C85" w:rsidRDefault="00000000">
      <w:pPr>
        <w:spacing w:after="40"/>
        <w:ind w:left="317" w:hanging="202"/>
        <w:rPr>
          <w:rFonts w:hint="eastAsia"/>
        </w:rPr>
      </w:pPr>
      <w:r>
        <w:rPr>
          <w:sz w:val="19"/>
        </w:rPr>
        <w:t>• Worked with corporate lawyers and compliance officers on medical affairs matters, including depositions, state fair hearings, and state and congressional committee meetings involving managed care issues.</w:t>
      </w:r>
    </w:p>
    <w:p w14:paraId="5A949348" w14:textId="77777777" w:rsidR="00914C85" w:rsidRDefault="00000000">
      <w:pPr>
        <w:pStyle w:val="CVSubhead"/>
        <w:spacing w:after="20"/>
        <w:rPr>
          <w:rFonts w:hint="eastAsia"/>
        </w:rPr>
      </w:pPr>
      <w:r>
        <w:t>Coventry Health Care USA</w:t>
      </w:r>
      <w:r>
        <w:br/>
        <w:t>Chief Medical Director | 2004–2006; Medical Director | 2001–2004</w:t>
      </w:r>
    </w:p>
    <w:p w14:paraId="10E319C2" w14:textId="77777777" w:rsidR="00914C85" w:rsidRDefault="00000000">
      <w:pPr>
        <w:spacing w:after="40"/>
        <w:ind w:left="317" w:hanging="202"/>
        <w:rPr>
          <w:rFonts w:hint="eastAsia"/>
        </w:rPr>
      </w:pPr>
      <w:r>
        <w:rPr>
          <w:sz w:val="19"/>
        </w:rPr>
        <w:t>• Held senior managed care leadership roles involving medical policy, utilization management, case management, outpatient services, and health plan operations.</w:t>
      </w:r>
    </w:p>
    <w:p w14:paraId="735FF0D4" w14:textId="77777777" w:rsidR="00914C85" w:rsidRDefault="00000000">
      <w:pPr>
        <w:pStyle w:val="CVSubhead"/>
        <w:spacing w:after="20"/>
        <w:rPr>
          <w:rFonts w:hint="eastAsia"/>
        </w:rPr>
      </w:pPr>
      <w:r>
        <w:t>Washington University Physician Network / Health Management Partners</w:t>
      </w:r>
      <w:r>
        <w:br/>
        <w:t>Associate Medical Director | 1999–2001</w:t>
      </w:r>
    </w:p>
    <w:p w14:paraId="42A6EE8D" w14:textId="77777777" w:rsidR="00914C85" w:rsidRDefault="00000000">
      <w:pPr>
        <w:spacing w:after="40"/>
        <w:ind w:left="317" w:hanging="202"/>
        <w:rPr>
          <w:rFonts w:hint="eastAsia"/>
        </w:rPr>
      </w:pPr>
      <w:r>
        <w:rPr>
          <w:sz w:val="19"/>
        </w:rPr>
        <w:t>• Supported physician-network and managed care operations in an academic-affiliated practice environment.</w:t>
      </w:r>
    </w:p>
    <w:p w14:paraId="191A6287" w14:textId="77777777" w:rsidR="00914C85" w:rsidRDefault="00000000">
      <w:pPr>
        <w:pStyle w:val="CVSubhead"/>
        <w:spacing w:after="20"/>
        <w:rPr>
          <w:rFonts w:hint="eastAsia"/>
        </w:rPr>
      </w:pPr>
      <w:r>
        <w:t>St. Anthony’s Health Center</w:t>
      </w:r>
      <w:r>
        <w:br/>
        <w:t>Internist, Private Practice | 1999–2005; Medical Director, Outpatient Services | 2000–2004</w:t>
      </w:r>
    </w:p>
    <w:p w14:paraId="24429D93" w14:textId="77777777" w:rsidR="00914C85" w:rsidRDefault="00000000">
      <w:pPr>
        <w:spacing w:after="40"/>
        <w:ind w:left="317" w:hanging="202"/>
        <w:rPr>
          <w:rFonts w:hint="eastAsia"/>
        </w:rPr>
      </w:pPr>
      <w:r>
        <w:rPr>
          <w:sz w:val="19"/>
        </w:rPr>
        <w:t>• Maintained clinical practice while holding medical leadership responsibilities for outpatient services.</w:t>
      </w:r>
    </w:p>
    <w:p w14:paraId="2AA3E3A6" w14:textId="77777777" w:rsidR="00914C85" w:rsidRDefault="00000000">
      <w:pPr>
        <w:pStyle w:val="CVSubhead"/>
        <w:spacing w:after="20"/>
        <w:rPr>
          <w:rFonts w:hint="eastAsia"/>
        </w:rPr>
      </w:pPr>
      <w:r>
        <w:t>Casa de Salud</w:t>
      </w:r>
      <w:r>
        <w:br/>
        <w:t>Volunteer Attending Physician | 2015–2020</w:t>
      </w:r>
    </w:p>
    <w:p w14:paraId="6C612993" w14:textId="77777777" w:rsidR="00914C85" w:rsidRDefault="00000000">
      <w:pPr>
        <w:spacing w:after="40"/>
        <w:ind w:left="317" w:hanging="202"/>
        <w:rPr>
          <w:rFonts w:hint="eastAsia"/>
        </w:rPr>
      </w:pPr>
      <w:r>
        <w:rPr>
          <w:sz w:val="19"/>
        </w:rPr>
        <w:t>• Provided volunteer clinical service in a community-focused care environment.</w:t>
      </w:r>
    </w:p>
    <w:p w14:paraId="6684D72C" w14:textId="77777777" w:rsidR="00914C85" w:rsidRDefault="00000000">
      <w:pPr>
        <w:pStyle w:val="CVSection"/>
        <w:spacing w:before="160" w:after="64"/>
        <w:rPr>
          <w:rFonts w:hint="eastAsia"/>
        </w:rPr>
      </w:pPr>
      <w:r>
        <w:t>CONSULTING, ENTREPRENEURIAL, AND NONPROFIT LEADERSHIP</w:t>
      </w:r>
    </w:p>
    <w:p w14:paraId="113FAD0C" w14:textId="77777777" w:rsidR="00914C85" w:rsidRDefault="00000000">
      <w:pPr>
        <w:pStyle w:val="CVSubhead"/>
        <w:spacing w:after="20"/>
        <w:rPr>
          <w:rFonts w:hint="eastAsia"/>
        </w:rPr>
      </w:pPr>
      <w:r>
        <w:t>Mason Med Stat</w:t>
      </w:r>
      <w:r>
        <w:br/>
        <w:t>Founder and Principal Consultant | 2011–Present</w:t>
      </w:r>
    </w:p>
    <w:p w14:paraId="52DE54B7" w14:textId="77777777" w:rsidR="00914C85" w:rsidRDefault="00000000">
      <w:pPr>
        <w:spacing w:after="40"/>
        <w:ind w:left="317" w:hanging="202"/>
        <w:rPr>
          <w:rFonts w:hint="eastAsia"/>
        </w:rPr>
      </w:pPr>
      <w:r>
        <w:rPr>
          <w:sz w:val="19"/>
        </w:rPr>
        <w:t>• Healthcare consulting and expert advisory platform focused on managed care, Medicare, Medicaid, Dual Eligible / D-SNP, Marketplace, population health, clinical strategy, health literacy, payer operations, and healthcare leadership.</w:t>
      </w:r>
    </w:p>
    <w:p w14:paraId="3664C287" w14:textId="77777777" w:rsidR="00914C85" w:rsidRDefault="00000000">
      <w:pPr>
        <w:spacing w:after="40"/>
        <w:ind w:left="317" w:hanging="202"/>
        <w:rPr>
          <w:rFonts w:hint="eastAsia"/>
        </w:rPr>
      </w:pPr>
      <w:r>
        <w:rPr>
          <w:sz w:val="19"/>
        </w:rPr>
        <w:t>• Provides consulting, strategic advisory, expert analysis, case review, and thought leadership informed by 27 years of managed care and physician executive experience.</w:t>
      </w:r>
    </w:p>
    <w:p w14:paraId="52878AE9" w14:textId="77777777" w:rsidR="00914C85" w:rsidRDefault="00000000">
      <w:pPr>
        <w:spacing w:after="40"/>
        <w:ind w:left="317" w:hanging="202"/>
        <w:rPr>
          <w:rFonts w:hint="eastAsia"/>
        </w:rPr>
      </w:pPr>
      <w:r>
        <w:rPr>
          <w:sz w:val="19"/>
        </w:rPr>
        <w:t>• Supports healthcare organizations, provider groups, attorneys, and compliance leaders on matters involving medical policy, quality performance, utilization management, public program operations, and complex managed care strategy.</w:t>
      </w:r>
    </w:p>
    <w:p w14:paraId="34E8ECA1" w14:textId="77777777" w:rsidR="00914C85" w:rsidRDefault="00000000">
      <w:pPr>
        <w:spacing w:after="40"/>
        <w:ind w:left="317" w:hanging="202"/>
        <w:rPr>
          <w:rFonts w:hint="eastAsia"/>
        </w:rPr>
      </w:pPr>
      <w:r>
        <w:rPr>
          <w:sz w:val="19"/>
        </w:rPr>
        <w:t>• Provides support on matters involving medical affairs, managed care operations, compliance, fair hearing processes, deposition preparation, and regulatory or legislative issues.</w:t>
      </w:r>
    </w:p>
    <w:p w14:paraId="66CAAA1D" w14:textId="77777777" w:rsidR="00914C85" w:rsidRDefault="00000000">
      <w:pPr>
        <w:pStyle w:val="CVSubhead"/>
        <w:spacing w:after="20"/>
        <w:rPr>
          <w:rFonts w:hint="eastAsia"/>
        </w:rPr>
      </w:pPr>
      <w:r>
        <w:t>Dr. Genie’s Kids Foundation (501(c)(3))</w:t>
      </w:r>
      <w:r>
        <w:br/>
        <w:t>Founder and President | 1999–Present</w:t>
      </w:r>
    </w:p>
    <w:p w14:paraId="07ECFB45" w14:textId="77777777" w:rsidR="00914C85" w:rsidRDefault="00000000">
      <w:pPr>
        <w:spacing w:after="40"/>
        <w:ind w:left="317" w:hanging="202"/>
        <w:rPr>
          <w:rFonts w:hint="eastAsia"/>
        </w:rPr>
      </w:pPr>
      <w:r>
        <w:rPr>
          <w:sz w:val="19"/>
        </w:rPr>
        <w:t>• Physician-founded nonprofit organization advancing health literacy, preventive education, and healthcare career exposure for underserved children.</w:t>
      </w:r>
    </w:p>
    <w:p w14:paraId="29704CA7" w14:textId="77777777" w:rsidR="00914C85" w:rsidRDefault="00000000">
      <w:pPr>
        <w:spacing w:after="40"/>
        <w:ind w:left="317" w:hanging="202"/>
        <w:rPr>
          <w:rFonts w:hint="eastAsia"/>
        </w:rPr>
      </w:pPr>
      <w:r>
        <w:rPr>
          <w:sz w:val="19"/>
        </w:rPr>
        <w:t>• Provides scholarships and sponsored programming to children from low-income communities across the United States.</w:t>
      </w:r>
    </w:p>
    <w:p w14:paraId="54395A30" w14:textId="77777777" w:rsidR="00914C85" w:rsidRDefault="00000000">
      <w:pPr>
        <w:spacing w:after="40"/>
        <w:ind w:left="317" w:hanging="202"/>
        <w:rPr>
          <w:rFonts w:hint="eastAsia"/>
        </w:rPr>
      </w:pPr>
      <w:r>
        <w:rPr>
          <w:sz w:val="19"/>
        </w:rPr>
        <w:t>• Reached more than 1 million children ages 1–14 through affiliated programming models and early-intervention strategies.</w:t>
      </w:r>
    </w:p>
    <w:p w14:paraId="3745D421" w14:textId="77777777" w:rsidR="00914C85" w:rsidRDefault="00000000">
      <w:pPr>
        <w:pStyle w:val="CVSubhead"/>
        <w:spacing w:after="20"/>
        <w:rPr>
          <w:rFonts w:hint="eastAsia"/>
        </w:rPr>
      </w:pPr>
      <w:r>
        <w:lastRenderedPageBreak/>
        <w:t>Little Medical School</w:t>
      </w:r>
      <w:r>
        <w:br/>
        <w:t>Founder, CEO, and Franchisor | 1999–2026</w:t>
      </w:r>
    </w:p>
    <w:p w14:paraId="0CE7D706" w14:textId="77777777" w:rsidR="00914C85" w:rsidRDefault="00000000">
      <w:pPr>
        <w:spacing w:after="40"/>
        <w:ind w:left="317" w:hanging="202"/>
        <w:rPr>
          <w:rFonts w:hint="eastAsia"/>
        </w:rPr>
      </w:pPr>
      <w:r>
        <w:rPr>
          <w:sz w:val="19"/>
        </w:rPr>
        <w:t>• STEM.org-accredited educational company inspiring children to explore healthcare careers through experiential learning programs.</w:t>
      </w:r>
    </w:p>
    <w:p w14:paraId="3530BD46" w14:textId="77777777" w:rsidR="00914C85" w:rsidRDefault="00000000">
      <w:pPr>
        <w:spacing w:after="40"/>
        <w:ind w:left="317" w:hanging="202"/>
        <w:rPr>
          <w:rFonts w:hint="eastAsia"/>
        </w:rPr>
      </w:pPr>
      <w:r>
        <w:rPr>
          <w:sz w:val="19"/>
        </w:rPr>
        <w:t>• Developed scalable health literacy curriculum spanning more than 14 healthcare roles and built national and international presence across more than 70 markets.</w:t>
      </w:r>
    </w:p>
    <w:p w14:paraId="29D9F3D5" w14:textId="77777777" w:rsidR="00914C85" w:rsidRDefault="00000000">
      <w:pPr>
        <w:spacing w:after="40"/>
        <w:ind w:left="317" w:hanging="202"/>
        <w:rPr>
          <w:rFonts w:hint="eastAsia"/>
        </w:rPr>
      </w:pPr>
      <w:r>
        <w:rPr>
          <w:sz w:val="19"/>
        </w:rPr>
        <w:t>• Created workforce development programming reaching more than 4 million children globally; successfully exited company in 2026.</w:t>
      </w:r>
    </w:p>
    <w:p w14:paraId="296BFE35" w14:textId="77777777" w:rsidR="00914C85" w:rsidRDefault="00000000">
      <w:pPr>
        <w:pStyle w:val="CVSection"/>
        <w:spacing w:before="160" w:after="64"/>
        <w:rPr>
          <w:rFonts w:hint="eastAsia"/>
        </w:rPr>
      </w:pPr>
      <w:r>
        <w:t>ACADEMIC APPOINTMENTS, POLICY LEADERSHIP, AND CLINICAL TEACHING</w:t>
      </w:r>
    </w:p>
    <w:p w14:paraId="2F040A33" w14:textId="77777777" w:rsidR="00914C85" w:rsidRDefault="00000000">
      <w:pPr>
        <w:spacing w:after="40"/>
        <w:ind w:left="317" w:hanging="202"/>
        <w:rPr>
          <w:rFonts w:hint="eastAsia"/>
        </w:rPr>
      </w:pPr>
      <w:r>
        <w:rPr>
          <w:sz w:val="19"/>
        </w:rPr>
        <w:t>• Washington University School of Medicine — Clinical Instructor of Medicine | 1999–Present</w:t>
      </w:r>
    </w:p>
    <w:p w14:paraId="4908234A" w14:textId="77777777" w:rsidR="00914C85" w:rsidRDefault="00000000">
      <w:pPr>
        <w:spacing w:after="40"/>
        <w:ind w:left="317" w:hanging="202"/>
        <w:rPr>
          <w:rFonts w:hint="eastAsia"/>
        </w:rPr>
      </w:pPr>
      <w:r>
        <w:rPr>
          <w:sz w:val="19"/>
        </w:rPr>
        <w:t>• Washington University School of Law — Adjunct Professor | 2023–Present</w:t>
      </w:r>
    </w:p>
    <w:p w14:paraId="583EA2C7" w14:textId="77777777" w:rsidR="00914C85" w:rsidRDefault="00000000">
      <w:pPr>
        <w:spacing w:after="40"/>
        <w:ind w:left="317" w:hanging="202"/>
        <w:rPr>
          <w:rFonts w:hint="eastAsia"/>
        </w:rPr>
      </w:pPr>
      <w:r>
        <w:rPr>
          <w:sz w:val="19"/>
        </w:rPr>
        <w:t>• Washington University Olin School of Business — Adjunct Lecturer | 2014–Present</w:t>
      </w:r>
    </w:p>
    <w:p w14:paraId="75F77E69" w14:textId="77777777" w:rsidR="00914C85" w:rsidRDefault="00000000">
      <w:pPr>
        <w:spacing w:after="40"/>
        <w:ind w:left="317" w:hanging="202"/>
        <w:rPr>
          <w:rFonts w:hint="eastAsia"/>
        </w:rPr>
      </w:pPr>
      <w:r>
        <w:rPr>
          <w:sz w:val="19"/>
        </w:rPr>
        <w:t>• Washington University Brown School of Social Work — Adjunct Lecturer | 2022–Present</w:t>
      </w:r>
    </w:p>
    <w:p w14:paraId="32B98558" w14:textId="77777777" w:rsidR="00914C85" w:rsidRDefault="00000000">
      <w:pPr>
        <w:spacing w:after="40"/>
        <w:ind w:left="317" w:hanging="202"/>
        <w:rPr>
          <w:rFonts w:hint="eastAsia"/>
        </w:rPr>
      </w:pPr>
      <w:r>
        <w:rPr>
          <w:sz w:val="19"/>
        </w:rPr>
        <w:t>• Cordell Institute for Policy in Medicine &amp; Law, Washington University — Associate Director | 2023–2024</w:t>
      </w:r>
    </w:p>
    <w:p w14:paraId="123D5CE9" w14:textId="77777777" w:rsidR="00914C85" w:rsidRDefault="00000000">
      <w:pPr>
        <w:spacing w:after="40"/>
        <w:ind w:left="576" w:hanging="202"/>
        <w:rPr>
          <w:rFonts w:hint="eastAsia"/>
        </w:rPr>
      </w:pPr>
      <w:r>
        <w:rPr>
          <w:sz w:val="19"/>
        </w:rPr>
        <w:t>• At the Cordell Institute, examined emerging issues in artificial intelligence in managed care, patient privacy, governance, healthcare policy, and regulatory oversight.</w:t>
      </w:r>
    </w:p>
    <w:p w14:paraId="57220540" w14:textId="77777777" w:rsidR="00914C85" w:rsidRDefault="00000000">
      <w:pPr>
        <w:spacing w:after="40"/>
        <w:ind w:left="576" w:hanging="202"/>
        <w:rPr>
          <w:rFonts w:hint="eastAsia"/>
        </w:rPr>
      </w:pPr>
      <w:r>
        <w:rPr>
          <w:sz w:val="19"/>
        </w:rPr>
        <w:t>• Contributed to interdisciplinary dialogue at the intersection of medicine, law, compliance, and healthcare administration.</w:t>
      </w:r>
    </w:p>
    <w:p w14:paraId="4F304157" w14:textId="77777777" w:rsidR="00914C85" w:rsidRDefault="00000000">
      <w:pPr>
        <w:spacing w:after="40"/>
        <w:ind w:left="317" w:hanging="202"/>
        <w:rPr>
          <w:rFonts w:hint="eastAsia"/>
        </w:rPr>
      </w:pPr>
      <w:r>
        <w:rPr>
          <w:sz w:val="19"/>
        </w:rPr>
        <w:t>• Washington University School of Medicine Internal Medicine Residency Clinic — Volunteer Attending | 2005–2022</w:t>
      </w:r>
    </w:p>
    <w:p w14:paraId="09477F53" w14:textId="77777777" w:rsidR="00914C85" w:rsidRDefault="00000000">
      <w:pPr>
        <w:spacing w:after="40"/>
        <w:ind w:left="317" w:hanging="202"/>
        <w:rPr>
          <w:rFonts w:hint="eastAsia"/>
        </w:rPr>
      </w:pPr>
      <w:r>
        <w:t>• Washington University School of Medicine — Medical School Admissions Committee | Longstanding Member</w:t>
      </w:r>
    </w:p>
    <w:p w14:paraId="16EC4907" w14:textId="77777777" w:rsidR="00914C85" w:rsidRDefault="00000000">
      <w:pPr>
        <w:pStyle w:val="CVSubhead"/>
        <w:rPr>
          <w:rFonts w:hint="eastAsia"/>
        </w:rPr>
      </w:pPr>
      <w:r>
        <w:t>Selected Courses Taught</w:t>
      </w:r>
    </w:p>
    <w:p w14:paraId="01BA5C07" w14:textId="77777777" w:rsidR="00914C85" w:rsidRDefault="00000000">
      <w:pPr>
        <w:rPr>
          <w:rFonts w:hint="eastAsia"/>
        </w:rPr>
      </w:pPr>
      <w:r>
        <w:t>• The Role of Insurance in Public Health (S 5123) — Washington University Brown School of Social Work | Course Master | Spring 2023</w:t>
      </w:r>
    </w:p>
    <w:p w14:paraId="65691AC9" w14:textId="77777777" w:rsidR="00914C85" w:rsidRDefault="00000000">
      <w:pPr>
        <w:rPr>
          <w:rFonts w:hint="eastAsia"/>
        </w:rPr>
      </w:pPr>
      <w:r>
        <w:t>• Health Economics and Policy (MCT 321/564) — Washington University Olin School of Business | Course Master | 2016–2020</w:t>
      </w:r>
    </w:p>
    <w:p w14:paraId="0C356B3D" w14:textId="77777777" w:rsidR="00914C85" w:rsidRDefault="00000000">
      <w:pPr>
        <w:rPr>
          <w:rFonts w:hint="eastAsia"/>
        </w:rPr>
      </w:pPr>
      <w:r>
        <w:t>• The Legal Aspects of Managed Care in Government Sponsored Programs — Washington University School of Law | Course Master | 2024–Present</w:t>
      </w:r>
    </w:p>
    <w:p w14:paraId="785FC1F2" w14:textId="77777777" w:rsidR="00914C85" w:rsidRDefault="00000000">
      <w:pPr>
        <w:pStyle w:val="CVSection"/>
        <w:spacing w:before="160" w:after="64"/>
        <w:rPr>
          <w:rFonts w:hint="eastAsia"/>
        </w:rPr>
      </w:pPr>
      <w:r>
        <w:t>MEDIA, JOURNALISM, AND PROFESSIONAL SPEAKING</w:t>
      </w:r>
    </w:p>
    <w:p w14:paraId="0CA0695D" w14:textId="77777777" w:rsidR="00914C85" w:rsidRDefault="00000000">
      <w:pPr>
        <w:spacing w:after="40"/>
        <w:ind w:left="317" w:hanging="202"/>
        <w:rPr>
          <w:rFonts w:hint="eastAsia"/>
        </w:rPr>
      </w:pPr>
      <w:r>
        <w:rPr>
          <w:sz w:val="19"/>
        </w:rPr>
        <w:t>• Presented two TEDx talks on healthcare leadership, innovation, and public-interest issues.</w:t>
      </w:r>
    </w:p>
    <w:p w14:paraId="00F6BF6C" w14:textId="77777777" w:rsidR="00914C85" w:rsidRDefault="00000000">
      <w:pPr>
        <w:spacing w:after="40"/>
        <w:ind w:left="317" w:hanging="202"/>
        <w:rPr>
          <w:rFonts w:hint="eastAsia"/>
        </w:rPr>
      </w:pPr>
      <w:r>
        <w:rPr>
          <w:sz w:val="19"/>
        </w:rPr>
        <w:t>• Served as on-air health expert and contributor for KMOV-TV Channel 4 (CBS affiliate) Health Team, with weekly live interviews and public education reporting on important health issues.</w:t>
      </w:r>
    </w:p>
    <w:p w14:paraId="151A5346" w14:textId="77777777" w:rsidR="00914C85" w:rsidRDefault="00000000">
      <w:pPr>
        <w:spacing w:after="40"/>
        <w:ind w:left="317" w:hanging="202"/>
        <w:rPr>
          <w:rFonts w:hint="eastAsia"/>
        </w:rPr>
      </w:pPr>
      <w:r>
        <w:rPr>
          <w:sz w:val="19"/>
        </w:rPr>
        <w:t>• Member, Forbes Business Council | 2022–Present.</w:t>
      </w:r>
    </w:p>
    <w:p w14:paraId="2DF97162" w14:textId="77777777" w:rsidR="00914C85" w:rsidRDefault="00000000">
      <w:pPr>
        <w:spacing w:after="40"/>
        <w:ind w:left="317" w:hanging="202"/>
        <w:rPr>
          <w:rFonts w:hint="eastAsia"/>
        </w:rPr>
      </w:pPr>
      <w:r>
        <w:rPr>
          <w:sz w:val="19"/>
        </w:rPr>
        <w:t>• Member, Fast Company Business Council | 2022–Present.</w:t>
      </w:r>
    </w:p>
    <w:p w14:paraId="557F907C" w14:textId="77777777" w:rsidR="00914C85" w:rsidRDefault="00000000">
      <w:pPr>
        <w:spacing w:after="40"/>
        <w:ind w:left="317" w:hanging="202"/>
        <w:rPr>
          <w:rFonts w:hint="eastAsia"/>
        </w:rPr>
      </w:pPr>
      <w:r>
        <w:rPr>
          <w:sz w:val="19"/>
        </w:rPr>
        <w:t>• Frequent speaker for professional organizations, provider groups, academic audiences, and healthcare leadership forums on managed care, health literacy, innovation, and physician leadership.</w:t>
      </w:r>
    </w:p>
    <w:p w14:paraId="19D6B902" w14:textId="77777777" w:rsidR="00914C85" w:rsidRDefault="00000000">
      <w:pPr>
        <w:spacing w:after="40"/>
        <w:ind w:left="317" w:hanging="202"/>
        <w:rPr>
          <w:rFonts w:hint="eastAsia"/>
        </w:rPr>
      </w:pPr>
      <w:r>
        <w:rPr>
          <w:sz w:val="19"/>
        </w:rPr>
        <w:t>• Presented to financial and industry audiences, including investor-oriented discussions, Wall Street analysis contexts, company investor day programs, earnings and guidance discussions, and public policy forums on managed care issues.</w:t>
      </w:r>
    </w:p>
    <w:p w14:paraId="5D843653" w14:textId="77777777" w:rsidR="00914C85" w:rsidRDefault="00000000">
      <w:pPr>
        <w:pStyle w:val="CVSection"/>
        <w:spacing w:before="160" w:after="64"/>
        <w:rPr>
          <w:rFonts w:hint="eastAsia"/>
        </w:rPr>
      </w:pPr>
      <w:r>
        <w:t>BOOKS, ARTICLES, COMMENTARY, AND SELECTED PUBLICATIONS</w:t>
      </w:r>
    </w:p>
    <w:p w14:paraId="3424FBA0" w14:textId="77777777" w:rsidR="00914C85" w:rsidRDefault="00000000">
      <w:pPr>
        <w:pStyle w:val="CVSubhead"/>
        <w:spacing w:after="20"/>
        <w:rPr>
          <w:rFonts w:hint="eastAsia"/>
        </w:rPr>
      </w:pPr>
      <w:r>
        <w:t>Books and Commentary</w:t>
      </w:r>
    </w:p>
    <w:p w14:paraId="09D5EB11" w14:textId="77777777" w:rsidR="00914C85" w:rsidRDefault="00000000">
      <w:pPr>
        <w:spacing w:after="40"/>
        <w:ind w:left="317" w:hanging="202"/>
        <w:rPr>
          <w:rFonts w:hint="eastAsia"/>
        </w:rPr>
      </w:pPr>
      <w:r>
        <w:rPr>
          <w:sz w:val="19"/>
        </w:rPr>
        <w:t>• Think Like a Doctor, Lead Like a CEO. Leader Press. April 30, 2024. #1 New Release on Amazon in Total Quality Management and Communication in Management during launch week.</w:t>
      </w:r>
    </w:p>
    <w:p w14:paraId="6EA798A8" w14:textId="77777777" w:rsidR="00914C85" w:rsidRDefault="00000000">
      <w:pPr>
        <w:rPr>
          <w:rFonts w:hint="eastAsia"/>
        </w:rPr>
      </w:pPr>
      <w:r>
        <w:t>• Managed Care Primer. Author of educational primer on managed care structure, payer operations, medical policy, and government-sponsored programs.</w:t>
      </w:r>
    </w:p>
    <w:p w14:paraId="2E9848B0" w14:textId="77777777" w:rsidR="00914C85" w:rsidRDefault="00000000">
      <w:pPr>
        <w:spacing w:after="40"/>
        <w:ind w:left="317" w:hanging="202"/>
        <w:rPr>
          <w:rFonts w:hint="eastAsia"/>
        </w:rPr>
      </w:pPr>
      <w:r>
        <w:rPr>
          <w:sz w:val="19"/>
        </w:rPr>
        <w:t>• “Balancing Innovation and Responsibility with AI-powered Technologies.” Forbes.com. February 2, 2024.</w:t>
      </w:r>
    </w:p>
    <w:p w14:paraId="232951BE" w14:textId="77777777" w:rsidR="00914C85" w:rsidRDefault="00000000">
      <w:pPr>
        <w:spacing w:after="40"/>
        <w:ind w:left="317" w:hanging="202"/>
        <w:rPr>
          <w:rFonts w:hint="eastAsia"/>
        </w:rPr>
      </w:pPr>
      <w:r>
        <w:rPr>
          <w:sz w:val="19"/>
        </w:rPr>
        <w:t>• “How to Take the Politics Out of Cognitive Testing of Politicians.” Cordell Institute / The Hill. 2024.</w:t>
      </w:r>
    </w:p>
    <w:p w14:paraId="0331BCA5" w14:textId="77777777" w:rsidR="00914C85" w:rsidRDefault="00000000">
      <w:pPr>
        <w:spacing w:after="40"/>
        <w:ind w:left="317" w:hanging="202"/>
        <w:rPr>
          <w:rFonts w:hint="eastAsia"/>
        </w:rPr>
      </w:pPr>
      <w:r>
        <w:rPr>
          <w:sz w:val="19"/>
        </w:rPr>
        <w:lastRenderedPageBreak/>
        <w:t>• “Thinking Like a Doctor When Addressing Business Issues.” Forbes.com. October 6, 2022.</w:t>
      </w:r>
    </w:p>
    <w:p w14:paraId="261EB885" w14:textId="77777777" w:rsidR="00914C85" w:rsidRDefault="00000000">
      <w:pPr>
        <w:spacing w:after="40"/>
        <w:ind w:left="317" w:hanging="202"/>
        <w:rPr>
          <w:rFonts w:hint="eastAsia"/>
        </w:rPr>
      </w:pPr>
      <w:r>
        <w:rPr>
          <w:sz w:val="19"/>
        </w:rPr>
        <w:t>• “Approach Business Emergencies Like an Emergency Room Physician.” Fast Company. June 7, 2023.</w:t>
      </w:r>
    </w:p>
    <w:p w14:paraId="0399911A" w14:textId="77777777" w:rsidR="00914C85" w:rsidRDefault="00000000">
      <w:pPr>
        <w:spacing w:after="40"/>
        <w:ind w:left="317" w:hanging="202"/>
        <w:rPr>
          <w:rFonts w:hint="eastAsia"/>
        </w:rPr>
      </w:pPr>
      <w:r>
        <w:rPr>
          <w:sz w:val="19"/>
        </w:rPr>
        <w:t>• “How Leaders Can Help Their Teams Navigating Health Insurance Benefits.” Forbes.com. November 7, 2022.</w:t>
      </w:r>
    </w:p>
    <w:p w14:paraId="35604134" w14:textId="77777777" w:rsidR="00914C85" w:rsidRDefault="00000000">
      <w:pPr>
        <w:spacing w:after="40"/>
        <w:ind w:left="317" w:hanging="202"/>
        <w:rPr>
          <w:rFonts w:hint="eastAsia"/>
        </w:rPr>
      </w:pPr>
      <w:r>
        <w:rPr>
          <w:sz w:val="19"/>
        </w:rPr>
        <w:t>• “Is Technology Always the Best Answer?” Fast Company. May 1, 2023.</w:t>
      </w:r>
    </w:p>
    <w:p w14:paraId="48B2288E" w14:textId="77777777" w:rsidR="00914C85" w:rsidRDefault="00000000">
      <w:pPr>
        <w:rPr>
          <w:rFonts w:hint="eastAsia"/>
        </w:rPr>
      </w:pPr>
      <w:r>
        <w:rPr>
          <w:sz w:val="19"/>
        </w:rPr>
        <w:t>• “Tips for Getting the Most Out of Your Next Zoom Interview.” Fast Company. August 22, 2022.</w:t>
      </w:r>
    </w:p>
    <w:p w14:paraId="75CAA00E" w14:textId="77777777" w:rsidR="00914C85" w:rsidRDefault="00000000">
      <w:pPr>
        <w:rPr>
          <w:rFonts w:hint="eastAsia"/>
        </w:rPr>
      </w:pPr>
      <w:r>
        <w:rPr>
          <w:sz w:val="19"/>
        </w:rPr>
        <w:t>• “Lessons to Take from the Dorm Room to the Board Room.” Forbes.com. August 24, 2022.</w:t>
      </w:r>
    </w:p>
    <w:p w14:paraId="796B3C6F" w14:textId="77777777" w:rsidR="00914C85" w:rsidRDefault="00000000">
      <w:pPr>
        <w:rPr>
          <w:rFonts w:hint="eastAsia"/>
        </w:rPr>
      </w:pPr>
      <w:r>
        <w:rPr>
          <w:sz w:val="19"/>
        </w:rPr>
        <w:t>• “Is Getting an MBA Right for You?” Forbes.com. September 15, 2022.</w:t>
      </w:r>
    </w:p>
    <w:p w14:paraId="21FA5833" w14:textId="77777777" w:rsidR="00914C85" w:rsidRDefault="00000000">
      <w:pPr>
        <w:rPr>
          <w:rFonts w:hint="eastAsia"/>
        </w:rPr>
      </w:pPr>
      <w:r>
        <w:rPr>
          <w:sz w:val="19"/>
        </w:rPr>
        <w:t>• “The Story of Your Life.” Fast Company. October 11, 2022.</w:t>
      </w:r>
    </w:p>
    <w:p w14:paraId="1C166955" w14:textId="77777777" w:rsidR="00914C85" w:rsidRDefault="00000000">
      <w:pPr>
        <w:rPr>
          <w:rFonts w:hint="eastAsia"/>
        </w:rPr>
      </w:pPr>
      <w:r>
        <w:rPr>
          <w:sz w:val="19"/>
        </w:rPr>
        <w:t>• “White Coats to Business Suits: The Tricky Business of Dressing for Success.” Fast Company. November 23, 2022.</w:t>
      </w:r>
    </w:p>
    <w:p w14:paraId="22D39C53" w14:textId="77777777" w:rsidR="00914C85" w:rsidRDefault="00000000">
      <w:pPr>
        <w:rPr>
          <w:rFonts w:hint="eastAsia"/>
        </w:rPr>
      </w:pPr>
      <w:r>
        <w:rPr>
          <w:sz w:val="19"/>
        </w:rPr>
        <w:t>• “Five Tips to Help You Prepare for Applying for Your Dream Job.” Forbes.com. December 6, 2022.</w:t>
      </w:r>
    </w:p>
    <w:p w14:paraId="2B20E9B4" w14:textId="77777777" w:rsidR="00914C85" w:rsidRDefault="00000000">
      <w:pPr>
        <w:rPr>
          <w:rFonts w:hint="eastAsia"/>
        </w:rPr>
      </w:pPr>
      <w:r>
        <w:rPr>
          <w:sz w:val="19"/>
        </w:rPr>
        <w:t>• “The Power of Human Interaction in a Virtual First World of Work.” Fast Company. January 11, 2023.</w:t>
      </w:r>
    </w:p>
    <w:p w14:paraId="28B27828" w14:textId="77777777" w:rsidR="00914C85" w:rsidRDefault="00000000">
      <w:pPr>
        <w:rPr>
          <w:rFonts w:hint="eastAsia"/>
        </w:rPr>
      </w:pPr>
      <w:r>
        <w:rPr>
          <w:sz w:val="19"/>
        </w:rPr>
        <w:t>• “Crisis Planning 101.” Forbes. February 17, 2023.</w:t>
      </w:r>
    </w:p>
    <w:p w14:paraId="61B8613C" w14:textId="77777777" w:rsidR="00914C85" w:rsidRDefault="00000000">
      <w:pPr>
        <w:rPr>
          <w:rFonts w:hint="eastAsia"/>
        </w:rPr>
      </w:pPr>
      <w:r>
        <w:rPr>
          <w:sz w:val="19"/>
        </w:rPr>
        <w:t>• “Work Like a Physician in Training.” March 24, 2023.</w:t>
      </w:r>
    </w:p>
    <w:p w14:paraId="7977184E" w14:textId="77777777" w:rsidR="00914C85" w:rsidRDefault="00000000">
      <w:pPr>
        <w:rPr>
          <w:rFonts w:hint="eastAsia"/>
        </w:rPr>
      </w:pPr>
      <w:r>
        <w:rPr>
          <w:sz w:val="19"/>
        </w:rPr>
        <w:t>• “Know Your Mission Statement.” Forbes. April 18, 2023.</w:t>
      </w:r>
    </w:p>
    <w:p w14:paraId="68EC5C8C" w14:textId="77777777" w:rsidR="00914C85" w:rsidRDefault="00000000">
      <w:pPr>
        <w:rPr>
          <w:rFonts w:hint="eastAsia"/>
        </w:rPr>
      </w:pPr>
      <w:r>
        <w:rPr>
          <w:sz w:val="19"/>
        </w:rPr>
        <w:t>• “5 Tips to Help You Find Your Dream Career.” Forbes. May 30, 2023.</w:t>
      </w:r>
    </w:p>
    <w:p w14:paraId="4EA75C92" w14:textId="77777777" w:rsidR="00914C85" w:rsidRDefault="00000000">
      <w:pPr>
        <w:rPr>
          <w:rFonts w:hint="eastAsia"/>
        </w:rPr>
      </w:pPr>
      <w:r>
        <w:rPr>
          <w:sz w:val="19"/>
        </w:rPr>
        <w:t>• “How to Master the On-Air TV Interview.” Fast Company. July 12, 2023.</w:t>
      </w:r>
    </w:p>
    <w:p w14:paraId="05973498" w14:textId="77777777" w:rsidR="00914C85" w:rsidRDefault="00000000">
      <w:pPr>
        <w:rPr>
          <w:rFonts w:hint="eastAsia"/>
        </w:rPr>
      </w:pPr>
      <w:r>
        <w:rPr>
          <w:sz w:val="19"/>
        </w:rPr>
        <w:t>• “How Going Back to the High School Days Can Make You a Better Business Leader.” Forbes. July 24, 2023.</w:t>
      </w:r>
    </w:p>
    <w:p w14:paraId="14C95FBF" w14:textId="77777777" w:rsidR="00914C85" w:rsidRDefault="00000000">
      <w:pPr>
        <w:pStyle w:val="CVSubhead"/>
        <w:spacing w:after="20"/>
        <w:rPr>
          <w:rFonts w:hint="eastAsia"/>
        </w:rPr>
      </w:pPr>
      <w:r>
        <w:t>Peer-Reviewed Publications</w:t>
      </w:r>
    </w:p>
    <w:p w14:paraId="0C6AE287" w14:textId="77777777" w:rsidR="00914C85" w:rsidRDefault="00000000">
      <w:pPr>
        <w:spacing w:after="40"/>
        <w:ind w:left="317" w:hanging="202"/>
        <w:rPr>
          <w:rFonts w:hint="eastAsia"/>
        </w:rPr>
      </w:pPr>
      <w:r>
        <w:rPr>
          <w:sz w:val="19"/>
        </w:rPr>
        <w:t>• Lucas, B., Poole-Yaeger, A., Istwan, N., Stanziano, G., Rhea, D., Mason, M. Pregnancy outcomes of managed Medicaid members prescribed home administration of 17 alpha-hydroxyprogesterone caproate. American Journal of Perinatology. 2012;29:489–496.</w:t>
      </w:r>
    </w:p>
    <w:p w14:paraId="7B811B19" w14:textId="77777777" w:rsidR="00914C85" w:rsidRDefault="00000000">
      <w:pPr>
        <w:spacing w:after="40"/>
        <w:ind w:left="317" w:hanging="202"/>
        <w:rPr>
          <w:rFonts w:hint="eastAsia"/>
        </w:rPr>
      </w:pPr>
      <w:r>
        <w:rPr>
          <w:sz w:val="19"/>
        </w:rPr>
        <w:t>• Mason, M.V., Poole-Yaeger, A., Lucas, B., Krueger, C.R., Ahmed, T., Duncan, I. Effects of a pregnancy management program on birth outcomes in managed Medicaid. Managed Care. 2011.</w:t>
      </w:r>
    </w:p>
    <w:p w14:paraId="22F987EB" w14:textId="77777777" w:rsidR="00914C85" w:rsidRDefault="00000000">
      <w:pPr>
        <w:spacing w:after="40"/>
        <w:ind w:left="317" w:hanging="202"/>
        <w:rPr>
          <w:rFonts w:hint="eastAsia"/>
        </w:rPr>
      </w:pPr>
      <w:r>
        <w:rPr>
          <w:sz w:val="19"/>
        </w:rPr>
        <w:t>• Mason, M.V., Poole-Yaeger, A., Krueger, C.R., House, K.M., Lucas, B. Impact of 17P usage on NICU admissions in a managed Medicaid population — a five-year review. Managed Care. 2010.</w:t>
      </w:r>
    </w:p>
    <w:p w14:paraId="59E0032F" w14:textId="77777777" w:rsidR="00914C85" w:rsidRDefault="00000000">
      <w:pPr>
        <w:spacing w:after="40"/>
        <w:ind w:left="317" w:hanging="202"/>
        <w:rPr>
          <w:rFonts w:hint="eastAsia"/>
        </w:rPr>
      </w:pPr>
      <w:r>
        <w:rPr>
          <w:sz w:val="19"/>
        </w:rPr>
        <w:t>• Mason, M.V., House, K.M., Linehan, J., Speers, C.A., Joseph, L.M., Littlejohn, R. Optimizing the use of 17P in pregnant managed Medicaid members. Managed Care. 2008.</w:t>
      </w:r>
    </w:p>
    <w:p w14:paraId="01E7007D" w14:textId="77777777" w:rsidR="00914C85" w:rsidRDefault="00000000">
      <w:pPr>
        <w:spacing w:after="40"/>
        <w:ind w:left="317" w:hanging="202"/>
        <w:rPr>
          <w:rFonts w:hint="eastAsia"/>
        </w:rPr>
      </w:pPr>
      <w:r>
        <w:rPr>
          <w:sz w:val="19"/>
        </w:rPr>
        <w:t>• Mason, M.V., House, K.M., Fuest, C.M., Fitzgerald, D.R., Kitson, B.J., Inglis, J.A. 17 alpha-hydroxyprogesterone caproate usage in a Medicaid managed care plan and reduction in neonatal intensive care unit days. Managed Care. 2005.</w:t>
      </w:r>
    </w:p>
    <w:p w14:paraId="160A69CB" w14:textId="77777777" w:rsidR="00914C85" w:rsidRDefault="00000000">
      <w:pPr>
        <w:spacing w:after="40"/>
        <w:ind w:left="317" w:hanging="202"/>
        <w:rPr>
          <w:rFonts w:hint="eastAsia"/>
        </w:rPr>
      </w:pPr>
      <w:r>
        <w:rPr>
          <w:sz w:val="19"/>
        </w:rPr>
        <w:t>• Grigsby, P., Mason, M., Perez, C.A. Cervical carcinoma failure in the para-aortic nodes after radiation therapy. International Journal of Radiation Oncology, Biology and Physics. 1993.</w:t>
      </w:r>
    </w:p>
    <w:p w14:paraId="288954EF" w14:textId="77777777" w:rsidR="00914C85" w:rsidRDefault="00000000">
      <w:pPr>
        <w:pStyle w:val="CVSection"/>
        <w:spacing w:before="160" w:after="64"/>
        <w:rPr>
          <w:rFonts w:hint="eastAsia"/>
        </w:rPr>
      </w:pPr>
      <w:r>
        <w:t>LICENSURE, TRAINING, HONORS, AND EDUCATION</w:t>
      </w:r>
    </w:p>
    <w:p w14:paraId="378C2A8B" w14:textId="77777777" w:rsidR="00914C85" w:rsidRDefault="00000000">
      <w:pPr>
        <w:spacing w:after="64"/>
        <w:rPr>
          <w:rFonts w:hint="eastAsia"/>
        </w:rPr>
      </w:pPr>
      <w:r>
        <w:rPr>
          <w:b/>
          <w:color w:val="1F3A5F"/>
          <w:sz w:val="19"/>
        </w:rPr>
        <w:t xml:space="preserve">Licensure and Certification: </w:t>
      </w:r>
      <w:r>
        <w:rPr>
          <w:sz w:val="19"/>
        </w:rPr>
        <w:t>Missouri Medical License — #106125; American Board of Internal Medicine — #186045; Current DEA Registration</w:t>
      </w:r>
    </w:p>
    <w:p w14:paraId="1748E88C" w14:textId="77777777" w:rsidR="00914C85" w:rsidRDefault="00000000">
      <w:pPr>
        <w:spacing w:after="64"/>
        <w:rPr>
          <w:rFonts w:hint="eastAsia"/>
        </w:rPr>
      </w:pPr>
      <w:r>
        <w:rPr>
          <w:b/>
          <w:color w:val="1F3A5F"/>
          <w:sz w:val="19"/>
        </w:rPr>
        <w:t xml:space="preserve">Post-Graduate Training: </w:t>
      </w:r>
      <w:r>
        <w:rPr>
          <w:sz w:val="19"/>
        </w:rPr>
        <w:t>Chief Resident, Department of Internal Medicine — Washington University | 1998–1999; Resident, Internal Medicine — Washington University | 1996–1998; Intern, Internal Medicine — Washington University | 1995–1996</w:t>
      </w:r>
    </w:p>
    <w:p w14:paraId="630DF25D" w14:textId="77777777" w:rsidR="00914C85" w:rsidRDefault="00000000">
      <w:pPr>
        <w:spacing w:after="64"/>
        <w:rPr>
          <w:rFonts w:hint="eastAsia"/>
        </w:rPr>
      </w:pPr>
      <w:r>
        <w:rPr>
          <w:b/>
          <w:color w:val="1F3A5F"/>
          <w:sz w:val="19"/>
        </w:rPr>
        <w:t xml:space="preserve">Professional Memberships: </w:t>
      </w:r>
      <w:r>
        <w:rPr>
          <w:sz w:val="19"/>
        </w:rPr>
        <w:t>Fellow, American College of Physicians (FACP); American Medical Association</w:t>
      </w:r>
    </w:p>
    <w:p w14:paraId="2917B9C5" w14:textId="652B2C54" w:rsidR="00914C85" w:rsidRDefault="00000000">
      <w:pPr>
        <w:spacing w:after="64"/>
        <w:rPr>
          <w:rFonts w:hint="eastAsia"/>
        </w:rPr>
      </w:pPr>
      <w:r>
        <w:rPr>
          <w:b/>
          <w:color w:val="1F3A5F"/>
          <w:sz w:val="19"/>
        </w:rPr>
        <w:t xml:space="preserve">Honors and Recognition: </w:t>
      </w:r>
      <w:r>
        <w:rPr>
          <w:sz w:val="19"/>
        </w:rPr>
        <w:t>Washington University School of Medicine Alumni Achievement Award; University of Illinois Homecoming Comeback Alumni Award; Women in White Coats Hero; St. Louis Business Journal — Most Influential Business Women</w:t>
      </w:r>
      <w:r w:rsidR="005D2B77">
        <w:rPr>
          <w:sz w:val="19"/>
        </w:rPr>
        <w:t xml:space="preserve"> and 40 under 40</w:t>
      </w:r>
      <w:r>
        <w:rPr>
          <w:sz w:val="19"/>
        </w:rPr>
        <w:t>; Alpha Omega Alpha Medical Honor Society</w:t>
      </w:r>
    </w:p>
    <w:p w14:paraId="0E3E8832" w14:textId="77777777" w:rsidR="00914C85" w:rsidRDefault="00000000">
      <w:pPr>
        <w:spacing w:after="64"/>
        <w:rPr>
          <w:rFonts w:hint="eastAsia"/>
        </w:rPr>
      </w:pPr>
      <w:r>
        <w:rPr>
          <w:b/>
          <w:color w:val="1F3A5F"/>
          <w:sz w:val="19"/>
        </w:rPr>
        <w:t xml:space="preserve">Education: </w:t>
      </w:r>
      <w:r>
        <w:rPr>
          <w:sz w:val="19"/>
        </w:rPr>
        <w:t>MD — Washington University School of Medicine; MBA — Washington University Olin School of Business; BS, Bioengineering — University of Illinois Urbana-Champaign</w:t>
      </w:r>
    </w:p>
    <w:p w14:paraId="0FFBA089" w14:textId="77777777" w:rsidR="00914C85" w:rsidRDefault="00000000">
      <w:pPr>
        <w:spacing w:after="64"/>
        <w:rPr>
          <w:rFonts w:hint="eastAsia"/>
        </w:rPr>
      </w:pPr>
      <w:r>
        <w:rPr>
          <w:b/>
          <w:color w:val="1F3A5F"/>
          <w:sz w:val="19"/>
        </w:rPr>
        <w:t xml:space="preserve">Expert Witness Engagement Scope: </w:t>
      </w:r>
      <w:r>
        <w:rPr>
          <w:sz w:val="19"/>
        </w:rPr>
        <w:t>Available for expert review and consulting in matters involving managed care operations, public and commercial payer clinical strategy, Medicare, Medicaid, Dual Eligible / D-SNP, Marketplace operations, population health, utilization management, quality performance, health literacy, healthcare administration, medical policy, and related executive decision-making.</w:t>
      </w:r>
    </w:p>
    <w:sectPr w:rsidR="00914C85" w:rsidSect="00034616">
      <w:headerReference w:type="even" r:id="rId9"/>
      <w:headerReference w:type="default" r:id="rId10"/>
      <w:footerReference w:type="even" r:id="rId11"/>
      <w:footerReference w:type="default" r:id="rId12"/>
      <w:headerReference w:type="first" r:id="rId13"/>
      <w:footerReference w:type="first" r:id="rId14"/>
      <w:pgSz w:w="12240" w:h="15840"/>
      <w:pgMar w:top="864" w:right="936" w:bottom="792" w:left="93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35BDC" w14:textId="77777777" w:rsidR="00106B62" w:rsidRDefault="00106B62">
      <w:pPr>
        <w:spacing w:after="0" w:line="240" w:lineRule="auto"/>
        <w:rPr>
          <w:rFonts w:hint="eastAsia"/>
        </w:rPr>
      </w:pPr>
      <w:r>
        <w:separator/>
      </w:r>
    </w:p>
  </w:endnote>
  <w:endnote w:type="continuationSeparator" w:id="0">
    <w:p w14:paraId="408E9826" w14:textId="77777777" w:rsidR="00106B62" w:rsidRDefault="00106B62">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9940" w14:textId="77777777" w:rsidR="00914C85" w:rsidRDefault="00914C85">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B2CC9" w14:textId="77777777" w:rsidR="00914C85" w:rsidRDefault="00914C85">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96984" w14:textId="77777777" w:rsidR="00914C85" w:rsidRDefault="00914C85">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D79A8" w14:textId="77777777" w:rsidR="00106B62" w:rsidRDefault="00106B62">
      <w:pPr>
        <w:spacing w:after="0" w:line="240" w:lineRule="auto"/>
        <w:rPr>
          <w:rFonts w:hint="eastAsia"/>
        </w:rPr>
      </w:pPr>
      <w:r>
        <w:separator/>
      </w:r>
    </w:p>
  </w:footnote>
  <w:footnote w:type="continuationSeparator" w:id="0">
    <w:p w14:paraId="74C9C4E2" w14:textId="77777777" w:rsidR="00106B62" w:rsidRDefault="00106B62">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D805D" w14:textId="77777777" w:rsidR="00914C85" w:rsidRDefault="00914C85">
    <w:pPr>
      <w:pStyle w:val="Head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D2F86" w14:textId="77777777" w:rsidR="00914C85" w:rsidRDefault="00914C85">
    <w:pPr>
      <w:pStyle w:val="Heade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2A89F" w14:textId="77777777" w:rsidR="00914C85" w:rsidRDefault="00914C85">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8085672">
    <w:abstractNumId w:val="8"/>
  </w:num>
  <w:num w:numId="2" w16cid:durableId="20867336">
    <w:abstractNumId w:val="6"/>
  </w:num>
  <w:num w:numId="3" w16cid:durableId="978730942">
    <w:abstractNumId w:val="5"/>
  </w:num>
  <w:num w:numId="4" w16cid:durableId="1904755776">
    <w:abstractNumId w:val="4"/>
  </w:num>
  <w:num w:numId="5" w16cid:durableId="1211264696">
    <w:abstractNumId w:val="7"/>
  </w:num>
  <w:num w:numId="6" w16cid:durableId="1130981163">
    <w:abstractNumId w:val="3"/>
  </w:num>
  <w:num w:numId="7" w16cid:durableId="614872276">
    <w:abstractNumId w:val="2"/>
  </w:num>
  <w:num w:numId="8" w16cid:durableId="987589037">
    <w:abstractNumId w:val="1"/>
  </w:num>
  <w:num w:numId="9" w16cid:durableId="140776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06B62"/>
    <w:rsid w:val="0015074B"/>
    <w:rsid w:val="0029639D"/>
    <w:rsid w:val="00326F90"/>
    <w:rsid w:val="005D2B77"/>
    <w:rsid w:val="00914C85"/>
    <w:rsid w:val="00AA1D8D"/>
    <w:rsid w:val="00B47730"/>
    <w:rsid w:val="00CB0664"/>
    <w:rsid w:val="00D542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2CFA87"/>
  <w14:defaultImageDpi w14:val="300"/>
  <w15:docId w15:val="{E75C81ED-04B4-4045-8A6A-5740B56B2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80" w:line="259" w:lineRule="auto"/>
    </w:pPr>
    <w:rPr>
      <w:rFonts w:ascii="Aptos" w:hAnsi="Aptos"/>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VName">
    <w:name w:val="CV Name"/>
    <w:rPr>
      <w:rFonts w:ascii="Aptos" w:hAnsi="Aptos"/>
      <w:b/>
      <w:color w:val="1F3A5F"/>
      <w:sz w:val="36"/>
    </w:rPr>
  </w:style>
  <w:style w:type="paragraph" w:customStyle="1" w:styleId="CVSection">
    <w:name w:val="CV Section"/>
    <w:rPr>
      <w:rFonts w:ascii="Aptos" w:hAnsi="Aptos"/>
      <w:b/>
      <w:color w:val="1F3A5F"/>
      <w:sz w:val="23"/>
    </w:rPr>
  </w:style>
  <w:style w:type="paragraph" w:customStyle="1" w:styleId="CVSubhead">
    <w:name w:val="CV Subhead"/>
    <w:rPr>
      <w:rFonts w:ascii="Aptos" w:hAnsi="Aptos"/>
      <w:b/>
      <w:color w:val="24364B"/>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2086</Words>
  <Characters>11892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13951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Mary Mason</cp:lastModifiedBy>
  <cp:revision>2</cp:revision>
  <dcterms:created xsi:type="dcterms:W3CDTF">2013-12-23T23:15:00Z</dcterms:created>
  <dcterms:modified xsi:type="dcterms:W3CDTF">2026-04-13T22:50:00Z</dcterms:modified>
  <cp:category/>
</cp:coreProperties>
</file>