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9D3E6F" w14:paraId="408E41D3" w14:textId="77777777">
        <w:tblPrEx>
          <w:tblCellMar>
            <w:top w:w="0" w:type="dxa"/>
            <w:bottom w:w="0" w:type="dxa"/>
          </w:tblCellMar>
        </w:tblPrEx>
        <w:tc>
          <w:tcPr>
            <w:tcW w:w="9360" w:type="dxa"/>
            <w:shd w:val="clear" w:color="auto" w:fill="1B3A6B"/>
            <w:tcMar>
              <w:top w:w="240" w:type="dxa"/>
              <w:left w:w="360" w:type="dxa"/>
              <w:bottom w:w="200" w:type="dxa"/>
              <w:right w:w="360" w:type="dxa"/>
            </w:tcMar>
          </w:tcPr>
          <w:p w14:paraId="408E41CF" w14:textId="77777777" w:rsidR="009D3E6F" w:rsidRDefault="00000000">
            <w:pPr>
              <w:spacing w:after="60"/>
              <w:jc w:val="center"/>
            </w:pPr>
            <w:r>
              <w:rPr>
                <w:b/>
                <w:bCs/>
                <w:color w:val="FFFFFF"/>
                <w:sz w:val="52"/>
                <w:szCs w:val="52"/>
              </w:rPr>
              <w:t>PETER JAY</w:t>
            </w:r>
          </w:p>
          <w:p w14:paraId="408E41D0" w14:textId="39B8D984" w:rsidR="009D3E6F" w:rsidRDefault="00152F83">
            <w:pPr>
              <w:spacing w:after="80"/>
              <w:jc w:val="center"/>
            </w:pPr>
            <w:r>
              <w:rPr>
                <w:color w:val="C5D3E8"/>
                <w:spacing w:val="120"/>
                <w:sz w:val="26"/>
                <w:szCs w:val="26"/>
              </w:rPr>
              <w:t>JD |</w:t>
            </w:r>
            <w:r w:rsidR="00000000">
              <w:rPr>
                <w:color w:val="C5D3E8"/>
                <w:spacing w:val="120"/>
                <w:sz w:val="26"/>
                <w:szCs w:val="26"/>
              </w:rPr>
              <w:t xml:space="preserve"> MBA</w:t>
            </w:r>
          </w:p>
          <w:p w14:paraId="408E41D1" w14:textId="77777777" w:rsidR="009D3E6F" w:rsidRDefault="00000000">
            <w:pPr>
              <w:spacing w:after="100"/>
              <w:jc w:val="center"/>
            </w:pPr>
            <w:r>
              <w:rPr>
                <w:b/>
                <w:bCs/>
                <w:color w:val="D8E6FF"/>
                <w:sz w:val="24"/>
                <w:szCs w:val="24"/>
              </w:rPr>
              <w:t>Amusement Industry Safety &amp; Operations Expert Witness</w:t>
            </w:r>
          </w:p>
          <w:p w14:paraId="408E41D2" w14:textId="5531AFAA" w:rsidR="009D3E6F" w:rsidRDefault="00000000">
            <w:pPr>
              <w:jc w:val="center"/>
            </w:pPr>
            <w:r>
              <w:rPr>
                <w:color w:val="A8C0E8"/>
                <w:sz w:val="19"/>
                <w:szCs w:val="19"/>
              </w:rPr>
              <w:t xml:space="preserve">Indoor </w:t>
            </w:r>
            <w:r w:rsidR="00421D31">
              <w:rPr>
                <w:color w:val="A8C0E8"/>
                <w:sz w:val="19"/>
                <w:szCs w:val="19"/>
              </w:rPr>
              <w:t xml:space="preserve">Playgrounds </w:t>
            </w:r>
            <w:r w:rsidR="000D0FAA">
              <w:rPr>
                <w:color w:val="A8C0E8"/>
                <w:sz w:val="19"/>
                <w:szCs w:val="19"/>
              </w:rPr>
              <w:t>| Trampoline</w:t>
            </w:r>
            <w:r>
              <w:rPr>
                <w:color w:val="A8C0E8"/>
                <w:sz w:val="19"/>
                <w:szCs w:val="19"/>
              </w:rPr>
              <w:t xml:space="preserve"> </w:t>
            </w:r>
            <w:r w:rsidR="000D0FAA">
              <w:rPr>
                <w:color w:val="A8C0E8"/>
                <w:sz w:val="19"/>
                <w:szCs w:val="19"/>
              </w:rPr>
              <w:t>Parks | Ziplines | Ropes</w:t>
            </w:r>
            <w:r>
              <w:rPr>
                <w:color w:val="A8C0E8"/>
                <w:sz w:val="19"/>
                <w:szCs w:val="19"/>
              </w:rPr>
              <w:t xml:space="preserve"> &amp; Challenge </w:t>
            </w:r>
            <w:r w:rsidR="000D0FAA">
              <w:rPr>
                <w:color w:val="A8C0E8"/>
                <w:sz w:val="19"/>
                <w:szCs w:val="19"/>
              </w:rPr>
              <w:t>Courses</w:t>
            </w:r>
            <w:r w:rsidR="000D0FAA">
              <w:rPr>
                <w:color w:val="A8C0E8"/>
                <w:sz w:val="19"/>
                <w:szCs w:val="19"/>
              </w:rPr>
              <w:br/>
              <w:t>Operator</w:t>
            </w:r>
            <w:r>
              <w:rPr>
                <w:color w:val="A8C0E8"/>
                <w:sz w:val="19"/>
                <w:szCs w:val="19"/>
              </w:rPr>
              <w:t xml:space="preserve"> Standard of Care</w:t>
            </w:r>
          </w:p>
        </w:tc>
      </w:tr>
      <w:tr w:rsidR="009D3E6F" w14:paraId="408E41D5" w14:textId="77777777">
        <w:tblPrEx>
          <w:tblCellMar>
            <w:top w:w="0" w:type="dxa"/>
            <w:bottom w:w="0" w:type="dxa"/>
          </w:tblCellMar>
        </w:tblPrEx>
        <w:tc>
          <w:tcPr>
            <w:tcW w:w="9360" w:type="dxa"/>
            <w:shd w:val="clear" w:color="auto" w:fill="2E5FA3"/>
            <w:tcMar>
              <w:top w:w="100" w:type="dxa"/>
              <w:left w:w="360" w:type="dxa"/>
              <w:bottom w:w="100" w:type="dxa"/>
              <w:right w:w="360" w:type="dxa"/>
            </w:tcMar>
          </w:tcPr>
          <w:p w14:paraId="408E41D4" w14:textId="77777777" w:rsidR="009D3E6F" w:rsidRDefault="00000000">
            <w:pPr>
              <w:jc w:val="center"/>
            </w:pPr>
            <w:r>
              <w:rPr>
                <w:color w:val="FFFFFF"/>
                <w:sz w:val="19"/>
                <w:szCs w:val="19"/>
              </w:rPr>
              <w:t>(801) 372-3969   |   peterj@mitexperts.com   |   Cedar Hills, Utah   |   Utah State Bar – Active Member</w:t>
            </w:r>
          </w:p>
        </w:tc>
      </w:tr>
    </w:tbl>
    <w:p w14:paraId="408E41D6" w14:textId="77777777" w:rsidR="009D3E6F" w:rsidRDefault="009D3E6F">
      <w:pPr>
        <w:spacing w:after="200"/>
      </w:pPr>
    </w:p>
    <w:p w14:paraId="408E41D7" w14:textId="77777777" w:rsidR="009D3E6F" w:rsidRDefault="00000000">
      <w:pPr>
        <w:pBdr>
          <w:bottom w:val="single" w:sz="8" w:space="4" w:color="2E5FA3"/>
        </w:pBdr>
        <w:spacing w:before="320" w:after="80"/>
      </w:pPr>
      <w:r>
        <w:rPr>
          <w:b/>
          <w:bCs/>
          <w:caps/>
          <w:color w:val="1B3A6B"/>
          <w:sz w:val="22"/>
          <w:szCs w:val="22"/>
        </w:rPr>
        <w:t>EXPERT WITNESS PROFILE</w:t>
      </w:r>
    </w:p>
    <w:p w14:paraId="408E41D8" w14:textId="77777777" w:rsidR="009D3E6F" w:rsidRDefault="009D3E6F">
      <w:pPr>
        <w:spacing w:after="6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9D3E6F" w14:paraId="408E41DA" w14:textId="77777777">
        <w:tblPrEx>
          <w:tblCellMar>
            <w:top w:w="0" w:type="dxa"/>
            <w:bottom w:w="0" w:type="dxa"/>
          </w:tblCellMar>
        </w:tblPrEx>
        <w:tc>
          <w:tcPr>
            <w:tcW w:w="9360" w:type="dxa"/>
            <w:tcBorders>
              <w:top w:val="single" w:sz="6" w:space="0" w:color="2E5FA3"/>
              <w:left w:val="thick" w:sz="24" w:space="0" w:color="2E5FA3"/>
              <w:bottom w:val="single" w:sz="6" w:space="0" w:color="2E5FA3"/>
            </w:tcBorders>
            <w:shd w:val="clear" w:color="auto" w:fill="E8EFF8"/>
            <w:tcMar>
              <w:top w:w="160" w:type="dxa"/>
              <w:left w:w="240" w:type="dxa"/>
              <w:bottom w:w="160" w:type="dxa"/>
              <w:right w:w="240" w:type="dxa"/>
            </w:tcMar>
          </w:tcPr>
          <w:p w14:paraId="408E41D9" w14:textId="77777777" w:rsidR="009D3E6F" w:rsidRDefault="00000000">
            <w:r>
              <w:rPr>
                <w:color w:val="1B2E50"/>
              </w:rPr>
              <w:t>Peter Jay, JD, MBA is an amusement industry expert witness with a background that is rare in litigation support: he is both a licensed attorney and a former amusement facility owner-operator with nearly a decade of hands-on experience running a soft-contained indoor playground open to the public. As founder of Coconut Cove Indoor Playgrounds — serving approximately 275,000 visitors across two locations over nine years — Mr. Jay personally implemented ASTM standards, designed staff training and supervision protocols, managed incident response, coordinated with insurers, and navigated state regulatory compliance in real time. He has been retained as an expert and litigation consultant in trampoline park injury, zipline incident, and indoor playground matters, providing standard-of-care analysis, site inspections, discovery support, and expert report preparation. Mr. Jay is an active ASTM F24 voting member (including the F2970 Trampoline Court Task Group), a member of PRCA and ACCT, and an active member of the Utah State Bar. He accepts both plaintiff and defense engagements nationwide.</w:t>
            </w:r>
          </w:p>
        </w:tc>
      </w:tr>
    </w:tbl>
    <w:p w14:paraId="408E41DB" w14:textId="77777777" w:rsidR="009D3E6F" w:rsidRDefault="009D3E6F">
      <w:pPr>
        <w:spacing w:after="160"/>
      </w:pPr>
    </w:p>
    <w:p w14:paraId="408E41DC" w14:textId="77777777" w:rsidR="009D3E6F" w:rsidRDefault="00000000">
      <w:pPr>
        <w:pBdr>
          <w:bottom w:val="single" w:sz="8" w:space="4" w:color="2E5FA3"/>
        </w:pBdr>
        <w:spacing w:before="320" w:after="80"/>
      </w:pPr>
      <w:r>
        <w:rPr>
          <w:b/>
          <w:bCs/>
          <w:caps/>
          <w:color w:val="1B3A6B"/>
          <w:sz w:val="22"/>
          <w:szCs w:val="22"/>
        </w:rPr>
        <w:t>WHAT SETS PETER JAY APART</w:t>
      </w:r>
    </w:p>
    <w:p w14:paraId="408E41DD" w14:textId="77777777" w:rsidR="009D3E6F" w:rsidRDefault="009D3E6F">
      <w:pPr>
        <w:spacing w:after="60"/>
      </w:pPr>
    </w:p>
    <w:p w14:paraId="408E41DE" w14:textId="77777777" w:rsidR="009D3E6F" w:rsidRDefault="00000000">
      <w:pPr>
        <w:spacing w:before="60" w:after="60"/>
      </w:pPr>
      <w:r>
        <w:rPr>
          <w:color w:val="222222"/>
        </w:rPr>
        <w:t>Most amusement industry experts come from engineering, inspection, or regulatory backgrounds. Peter Jay brings something different — and uniquely valuable to litigators on both sides:</w:t>
      </w:r>
    </w:p>
    <w:p w14:paraId="408E41DF" w14:textId="77777777" w:rsidR="009D3E6F" w:rsidRDefault="009D3E6F">
      <w:pPr>
        <w:spacing w:after="40"/>
      </w:pPr>
    </w:p>
    <w:p w14:paraId="408E41E0" w14:textId="77777777" w:rsidR="009D3E6F" w:rsidRDefault="00000000">
      <w:pPr>
        <w:pStyle w:val="ListParagraph"/>
        <w:numPr>
          <w:ilvl w:val="0"/>
          <w:numId w:val="2"/>
        </w:numPr>
        <w:spacing w:before="40" w:after="40"/>
      </w:pPr>
      <w:r>
        <w:rPr>
          <w:color w:val="222222"/>
        </w:rPr>
        <w:t>He personally owned and operated an indoor amusement facility for nearly a decade, managing real staff, real patrons, and real risk.</w:t>
      </w:r>
    </w:p>
    <w:p w14:paraId="408E41E1" w14:textId="00022416" w:rsidR="009D3E6F" w:rsidRDefault="00000000">
      <w:pPr>
        <w:pStyle w:val="ListParagraph"/>
        <w:numPr>
          <w:ilvl w:val="0"/>
          <w:numId w:val="2"/>
        </w:numPr>
        <w:spacing w:before="40" w:after="40"/>
      </w:pPr>
      <w:r>
        <w:rPr>
          <w:color w:val="222222"/>
        </w:rPr>
        <w:t>He implemented ASTM and soft-contained play standards in daily operations — not just on paper, but in practice.</w:t>
      </w:r>
    </w:p>
    <w:p w14:paraId="408E41E2" w14:textId="77777777" w:rsidR="009D3E6F" w:rsidRDefault="00000000">
      <w:pPr>
        <w:pStyle w:val="ListParagraph"/>
        <w:numPr>
          <w:ilvl w:val="0"/>
          <w:numId w:val="2"/>
        </w:numPr>
        <w:spacing w:before="40" w:after="40"/>
      </w:pPr>
      <w:r>
        <w:rPr>
          <w:color w:val="222222"/>
        </w:rPr>
        <w:t>He navigated insurance coordination, incident documentation, waiver enforcement, and regulatory inspections firsthand.</w:t>
      </w:r>
    </w:p>
    <w:p w14:paraId="408E41E3" w14:textId="77777777" w:rsidR="009D3E6F" w:rsidRDefault="00000000">
      <w:pPr>
        <w:pStyle w:val="ListParagraph"/>
        <w:numPr>
          <w:ilvl w:val="0"/>
          <w:numId w:val="2"/>
        </w:numPr>
        <w:spacing w:before="40" w:after="40"/>
      </w:pPr>
      <w:r>
        <w:rPr>
          <w:color w:val="222222"/>
        </w:rPr>
        <w:t>His legal training (JD, Utah Bar) means he understands how courts analyze foreseeability, duty of care, and operator negligence — and can communicate those standards clearly on the stand.</w:t>
      </w:r>
    </w:p>
    <w:p w14:paraId="408E41E4" w14:textId="77777777" w:rsidR="009D3E6F" w:rsidRDefault="00000000">
      <w:pPr>
        <w:pStyle w:val="ListParagraph"/>
        <w:numPr>
          <w:ilvl w:val="0"/>
          <w:numId w:val="2"/>
        </w:numPr>
        <w:spacing w:before="40" w:after="40"/>
      </w:pPr>
      <w:r>
        <w:rPr>
          <w:color w:val="222222"/>
        </w:rPr>
        <w:t>He has worked with industry manufacturers including Safer Designs on zipline braking systems and compliance practices.</w:t>
      </w:r>
    </w:p>
    <w:p w14:paraId="408E41E5" w14:textId="77777777" w:rsidR="009D3E6F" w:rsidRDefault="009D3E6F">
      <w:pPr>
        <w:spacing w:after="60"/>
      </w:pPr>
    </w:p>
    <w:p w14:paraId="408E41E6" w14:textId="77777777" w:rsidR="009D3E6F" w:rsidRDefault="00000000">
      <w:pPr>
        <w:spacing w:before="60" w:after="60"/>
      </w:pPr>
      <w:r>
        <w:rPr>
          <w:i/>
          <w:iCs/>
          <w:color w:val="2E5FA3"/>
        </w:rPr>
        <w:t xml:space="preserve">He understands not just how amusement facilities should be run — but how they are </w:t>
      </w:r>
      <w:proofErr w:type="gramStart"/>
      <w:r>
        <w:rPr>
          <w:i/>
          <w:iCs/>
          <w:color w:val="2E5FA3"/>
        </w:rPr>
        <w:t>actually run</w:t>
      </w:r>
      <w:proofErr w:type="gramEnd"/>
      <w:r>
        <w:rPr>
          <w:i/>
          <w:iCs/>
          <w:color w:val="2E5FA3"/>
        </w:rPr>
        <w:t>, and where failures most commonly occur.</w:t>
      </w:r>
    </w:p>
    <w:p w14:paraId="408E41E7" w14:textId="77777777" w:rsidR="009D3E6F" w:rsidRDefault="009D3E6F">
      <w:pPr>
        <w:spacing w:after="160"/>
      </w:pPr>
    </w:p>
    <w:p w14:paraId="408E41E8" w14:textId="77777777" w:rsidR="009D3E6F" w:rsidRDefault="00000000">
      <w:pPr>
        <w:pBdr>
          <w:bottom w:val="single" w:sz="8" w:space="4" w:color="2E5FA3"/>
        </w:pBdr>
        <w:spacing w:before="320" w:after="80"/>
      </w:pPr>
      <w:r>
        <w:rPr>
          <w:b/>
          <w:bCs/>
          <w:caps/>
          <w:color w:val="1B3A6B"/>
          <w:sz w:val="22"/>
          <w:szCs w:val="22"/>
        </w:rPr>
        <w:t>AREAS OF EXPERTISE</w:t>
      </w:r>
    </w:p>
    <w:p w14:paraId="408E41E9" w14:textId="77777777" w:rsidR="009D3E6F" w:rsidRDefault="009D3E6F">
      <w:pPr>
        <w:spacing w:after="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500"/>
        <w:gridCol w:w="4860"/>
      </w:tblGrid>
      <w:tr w:rsidR="009D3E6F" w14:paraId="408E41EC" w14:textId="77777777">
        <w:tblPrEx>
          <w:tblCellMar>
            <w:top w:w="0" w:type="dxa"/>
            <w:bottom w:w="0" w:type="dxa"/>
          </w:tblCellMar>
        </w:tblPrEx>
        <w:tc>
          <w:tcPr>
            <w:tcW w:w="4500" w:type="dxa"/>
            <w:tcMar>
              <w:top w:w="40" w:type="dxa"/>
              <w:left w:w="0" w:type="dxa"/>
              <w:bottom w:w="40" w:type="dxa"/>
              <w:right w:w="120" w:type="dxa"/>
            </w:tcMar>
          </w:tcPr>
          <w:p w14:paraId="408E41EA" w14:textId="77777777" w:rsidR="009D3E6F" w:rsidRDefault="00000000">
            <w:r>
              <w:rPr>
                <w:b/>
                <w:bCs/>
                <w:color w:val="2E5FA3"/>
              </w:rPr>
              <w:t xml:space="preserve">• </w:t>
            </w:r>
            <w:r>
              <w:rPr>
                <w:color w:val="222222"/>
              </w:rPr>
              <w:t>Indoor Soft-Contained Play Equipment Safety</w:t>
            </w:r>
          </w:p>
        </w:tc>
        <w:tc>
          <w:tcPr>
            <w:tcW w:w="4860" w:type="dxa"/>
            <w:tcMar>
              <w:top w:w="40" w:type="dxa"/>
              <w:left w:w="120" w:type="dxa"/>
              <w:bottom w:w="40" w:type="dxa"/>
              <w:right w:w="0" w:type="dxa"/>
            </w:tcMar>
          </w:tcPr>
          <w:p w14:paraId="408E41EB" w14:textId="77777777" w:rsidR="009D3E6F" w:rsidRDefault="00000000">
            <w:r>
              <w:rPr>
                <w:b/>
                <w:bCs/>
                <w:color w:val="2E5FA3"/>
              </w:rPr>
              <w:t xml:space="preserve">• </w:t>
            </w:r>
            <w:r>
              <w:rPr>
                <w:color w:val="222222"/>
              </w:rPr>
              <w:t>ASTM F2970 – Trampoline Court Standards</w:t>
            </w:r>
          </w:p>
        </w:tc>
      </w:tr>
      <w:tr w:rsidR="009D3E6F" w14:paraId="408E41EF" w14:textId="77777777">
        <w:tblPrEx>
          <w:tblCellMar>
            <w:top w:w="0" w:type="dxa"/>
            <w:bottom w:w="0" w:type="dxa"/>
          </w:tblCellMar>
        </w:tblPrEx>
        <w:tc>
          <w:tcPr>
            <w:tcW w:w="4500" w:type="dxa"/>
            <w:tcMar>
              <w:top w:w="40" w:type="dxa"/>
              <w:left w:w="0" w:type="dxa"/>
              <w:bottom w:w="40" w:type="dxa"/>
              <w:right w:w="120" w:type="dxa"/>
            </w:tcMar>
          </w:tcPr>
          <w:p w14:paraId="408E41ED" w14:textId="77777777" w:rsidR="009D3E6F" w:rsidRDefault="00000000">
            <w:r>
              <w:rPr>
                <w:b/>
                <w:bCs/>
                <w:color w:val="2E5FA3"/>
              </w:rPr>
              <w:t xml:space="preserve">• </w:t>
            </w:r>
            <w:r>
              <w:rPr>
                <w:color w:val="222222"/>
              </w:rPr>
              <w:t>ASTM F2959 – Zipline Systems</w:t>
            </w:r>
          </w:p>
        </w:tc>
        <w:tc>
          <w:tcPr>
            <w:tcW w:w="4860" w:type="dxa"/>
            <w:tcMar>
              <w:top w:w="40" w:type="dxa"/>
              <w:left w:w="120" w:type="dxa"/>
              <w:bottom w:w="40" w:type="dxa"/>
              <w:right w:w="0" w:type="dxa"/>
            </w:tcMar>
          </w:tcPr>
          <w:p w14:paraId="408E41EE" w14:textId="77777777" w:rsidR="009D3E6F" w:rsidRDefault="00000000">
            <w:r>
              <w:rPr>
                <w:b/>
                <w:bCs/>
                <w:color w:val="2E5FA3"/>
              </w:rPr>
              <w:t xml:space="preserve">• </w:t>
            </w:r>
            <w:r>
              <w:rPr>
                <w:color w:val="222222"/>
              </w:rPr>
              <w:t>ACCT &amp; PRCA – Ropes &amp; Challenge Courses</w:t>
            </w:r>
          </w:p>
        </w:tc>
      </w:tr>
      <w:tr w:rsidR="009D3E6F" w14:paraId="408E41F2" w14:textId="77777777">
        <w:tblPrEx>
          <w:tblCellMar>
            <w:top w:w="0" w:type="dxa"/>
            <w:bottom w:w="0" w:type="dxa"/>
          </w:tblCellMar>
        </w:tblPrEx>
        <w:tc>
          <w:tcPr>
            <w:tcW w:w="4500" w:type="dxa"/>
            <w:tcMar>
              <w:top w:w="40" w:type="dxa"/>
              <w:left w:w="0" w:type="dxa"/>
              <w:bottom w:w="40" w:type="dxa"/>
              <w:right w:w="120" w:type="dxa"/>
            </w:tcMar>
          </w:tcPr>
          <w:p w14:paraId="408E41F0" w14:textId="77777777" w:rsidR="009D3E6F" w:rsidRDefault="00000000">
            <w:r>
              <w:rPr>
                <w:b/>
                <w:bCs/>
                <w:color w:val="2E5FA3"/>
              </w:rPr>
              <w:t xml:space="preserve">• </w:t>
            </w:r>
            <w:r>
              <w:rPr>
                <w:color w:val="222222"/>
              </w:rPr>
              <w:t>Operator Training &amp; Supervision Failures</w:t>
            </w:r>
          </w:p>
        </w:tc>
        <w:tc>
          <w:tcPr>
            <w:tcW w:w="4860" w:type="dxa"/>
            <w:tcMar>
              <w:top w:w="40" w:type="dxa"/>
              <w:left w:w="120" w:type="dxa"/>
              <w:bottom w:w="40" w:type="dxa"/>
              <w:right w:w="0" w:type="dxa"/>
            </w:tcMar>
          </w:tcPr>
          <w:p w14:paraId="408E41F1" w14:textId="77777777" w:rsidR="009D3E6F" w:rsidRDefault="00000000">
            <w:r>
              <w:rPr>
                <w:b/>
                <w:bCs/>
                <w:color w:val="2E5FA3"/>
              </w:rPr>
              <w:t xml:space="preserve">• </w:t>
            </w:r>
            <w:r>
              <w:rPr>
                <w:color w:val="222222"/>
              </w:rPr>
              <w:t>Staff Positioning &amp; Supervision Ratios</w:t>
            </w:r>
          </w:p>
        </w:tc>
      </w:tr>
      <w:tr w:rsidR="009D3E6F" w14:paraId="408E41F5" w14:textId="77777777">
        <w:tblPrEx>
          <w:tblCellMar>
            <w:top w:w="0" w:type="dxa"/>
            <w:bottom w:w="0" w:type="dxa"/>
          </w:tblCellMar>
        </w:tblPrEx>
        <w:tc>
          <w:tcPr>
            <w:tcW w:w="4500" w:type="dxa"/>
            <w:tcMar>
              <w:top w:w="40" w:type="dxa"/>
              <w:left w:w="0" w:type="dxa"/>
              <w:bottom w:w="40" w:type="dxa"/>
              <w:right w:w="120" w:type="dxa"/>
            </w:tcMar>
          </w:tcPr>
          <w:p w14:paraId="408E41F3" w14:textId="77777777" w:rsidR="009D3E6F" w:rsidRDefault="00000000">
            <w:r>
              <w:rPr>
                <w:b/>
                <w:bCs/>
                <w:color w:val="2E5FA3"/>
              </w:rPr>
              <w:t xml:space="preserve">• </w:t>
            </w:r>
            <w:r>
              <w:rPr>
                <w:color w:val="222222"/>
              </w:rPr>
              <w:t>Risk Management &amp; Incident Response</w:t>
            </w:r>
          </w:p>
        </w:tc>
        <w:tc>
          <w:tcPr>
            <w:tcW w:w="4860" w:type="dxa"/>
            <w:tcMar>
              <w:top w:w="40" w:type="dxa"/>
              <w:left w:w="120" w:type="dxa"/>
              <w:bottom w:w="40" w:type="dxa"/>
              <w:right w:w="0" w:type="dxa"/>
            </w:tcMar>
          </w:tcPr>
          <w:p w14:paraId="408E41F4" w14:textId="77777777" w:rsidR="009D3E6F" w:rsidRDefault="00000000">
            <w:r>
              <w:rPr>
                <w:b/>
                <w:bCs/>
                <w:color w:val="2E5FA3"/>
              </w:rPr>
              <w:t xml:space="preserve">• </w:t>
            </w:r>
            <w:r>
              <w:rPr>
                <w:color w:val="222222"/>
              </w:rPr>
              <w:t>Injury Causation &amp; Standard-of-Care Analysis</w:t>
            </w:r>
          </w:p>
        </w:tc>
      </w:tr>
      <w:tr w:rsidR="009D3E6F" w14:paraId="408E41F8" w14:textId="77777777">
        <w:tblPrEx>
          <w:tblCellMar>
            <w:top w:w="0" w:type="dxa"/>
            <w:bottom w:w="0" w:type="dxa"/>
          </w:tblCellMar>
        </w:tblPrEx>
        <w:tc>
          <w:tcPr>
            <w:tcW w:w="4500" w:type="dxa"/>
            <w:tcMar>
              <w:top w:w="40" w:type="dxa"/>
              <w:left w:w="0" w:type="dxa"/>
              <w:bottom w:w="40" w:type="dxa"/>
              <w:right w:w="120" w:type="dxa"/>
            </w:tcMar>
          </w:tcPr>
          <w:p w14:paraId="408E41F6" w14:textId="77777777" w:rsidR="009D3E6F" w:rsidRDefault="00000000">
            <w:r>
              <w:rPr>
                <w:b/>
                <w:bCs/>
                <w:color w:val="2E5FA3"/>
              </w:rPr>
              <w:t xml:space="preserve">• </w:t>
            </w:r>
            <w:r>
              <w:rPr>
                <w:color w:val="222222"/>
              </w:rPr>
              <w:t>Waiver Enforceability &amp; Assumption of Risk</w:t>
            </w:r>
          </w:p>
        </w:tc>
        <w:tc>
          <w:tcPr>
            <w:tcW w:w="4860" w:type="dxa"/>
            <w:tcMar>
              <w:top w:w="40" w:type="dxa"/>
              <w:left w:w="120" w:type="dxa"/>
              <w:bottom w:w="40" w:type="dxa"/>
              <w:right w:w="0" w:type="dxa"/>
            </w:tcMar>
          </w:tcPr>
          <w:p w14:paraId="408E41F7" w14:textId="77777777" w:rsidR="009D3E6F" w:rsidRDefault="00000000">
            <w:r>
              <w:rPr>
                <w:b/>
                <w:bCs/>
                <w:color w:val="2E5FA3"/>
              </w:rPr>
              <w:t xml:space="preserve">• </w:t>
            </w:r>
            <w:r>
              <w:rPr>
                <w:color w:val="222222"/>
              </w:rPr>
              <w:t>Signage, Warnings &amp; Participant Instructions</w:t>
            </w:r>
          </w:p>
        </w:tc>
      </w:tr>
      <w:tr w:rsidR="009D3E6F" w14:paraId="408E41FB" w14:textId="77777777">
        <w:tblPrEx>
          <w:tblCellMar>
            <w:top w:w="0" w:type="dxa"/>
            <w:bottom w:w="0" w:type="dxa"/>
          </w:tblCellMar>
        </w:tblPrEx>
        <w:tc>
          <w:tcPr>
            <w:tcW w:w="4500" w:type="dxa"/>
            <w:tcMar>
              <w:top w:w="40" w:type="dxa"/>
              <w:left w:w="0" w:type="dxa"/>
              <w:bottom w:w="40" w:type="dxa"/>
              <w:right w:w="120" w:type="dxa"/>
            </w:tcMar>
          </w:tcPr>
          <w:p w14:paraId="408E41F9" w14:textId="77777777" w:rsidR="009D3E6F" w:rsidRDefault="00000000">
            <w:r>
              <w:rPr>
                <w:b/>
                <w:bCs/>
                <w:color w:val="2E5FA3"/>
              </w:rPr>
              <w:t xml:space="preserve">• </w:t>
            </w:r>
            <w:r>
              <w:rPr>
                <w:color w:val="222222"/>
              </w:rPr>
              <w:t>Corporate Governance &amp; Safety Policy Review</w:t>
            </w:r>
          </w:p>
        </w:tc>
        <w:tc>
          <w:tcPr>
            <w:tcW w:w="4860" w:type="dxa"/>
            <w:tcMar>
              <w:top w:w="40" w:type="dxa"/>
              <w:left w:w="120" w:type="dxa"/>
              <w:bottom w:w="40" w:type="dxa"/>
              <w:right w:w="0" w:type="dxa"/>
            </w:tcMar>
          </w:tcPr>
          <w:p w14:paraId="408E41FA" w14:textId="77777777" w:rsidR="009D3E6F" w:rsidRDefault="00000000">
            <w:r>
              <w:rPr>
                <w:b/>
                <w:bCs/>
                <w:color w:val="2E5FA3"/>
              </w:rPr>
              <w:t xml:space="preserve">• </w:t>
            </w:r>
            <w:r>
              <w:rPr>
                <w:color w:val="222222"/>
              </w:rPr>
              <w:t>Equipment Installation &amp; Manufacturer Compliance</w:t>
            </w:r>
          </w:p>
        </w:tc>
      </w:tr>
      <w:tr w:rsidR="009D3E6F" w14:paraId="408E41FE" w14:textId="77777777">
        <w:tblPrEx>
          <w:tblCellMar>
            <w:top w:w="0" w:type="dxa"/>
            <w:bottom w:w="0" w:type="dxa"/>
          </w:tblCellMar>
        </w:tblPrEx>
        <w:tc>
          <w:tcPr>
            <w:tcW w:w="4500" w:type="dxa"/>
            <w:tcMar>
              <w:top w:w="40" w:type="dxa"/>
              <w:left w:w="0" w:type="dxa"/>
              <w:bottom w:w="40" w:type="dxa"/>
              <w:right w:w="120" w:type="dxa"/>
            </w:tcMar>
          </w:tcPr>
          <w:p w14:paraId="408E41FC" w14:textId="77777777" w:rsidR="009D3E6F" w:rsidRDefault="00000000">
            <w:r>
              <w:rPr>
                <w:b/>
                <w:bCs/>
                <w:color w:val="2E5FA3"/>
              </w:rPr>
              <w:t xml:space="preserve">• </w:t>
            </w:r>
            <w:r>
              <w:rPr>
                <w:color w:val="222222"/>
              </w:rPr>
              <w:t>Building Code &amp; Occupancy Compliance</w:t>
            </w:r>
          </w:p>
        </w:tc>
        <w:tc>
          <w:tcPr>
            <w:tcW w:w="4860" w:type="dxa"/>
            <w:tcMar>
              <w:top w:w="40" w:type="dxa"/>
              <w:left w:w="120" w:type="dxa"/>
              <w:bottom w:w="40" w:type="dxa"/>
              <w:right w:w="0" w:type="dxa"/>
            </w:tcMar>
          </w:tcPr>
          <w:p w14:paraId="408E41FD" w14:textId="77777777" w:rsidR="009D3E6F" w:rsidRDefault="00000000">
            <w:r>
              <w:rPr>
                <w:b/>
                <w:bCs/>
                <w:color w:val="2E5FA3"/>
              </w:rPr>
              <w:t xml:space="preserve">• </w:t>
            </w:r>
            <w:r>
              <w:rPr>
                <w:color w:val="222222"/>
              </w:rPr>
              <w:t>Insurance Coordination &amp; Incident Documentation</w:t>
            </w:r>
          </w:p>
        </w:tc>
      </w:tr>
      <w:tr w:rsidR="009D3E6F" w14:paraId="408E4201" w14:textId="77777777">
        <w:tblPrEx>
          <w:tblCellMar>
            <w:top w:w="0" w:type="dxa"/>
            <w:bottom w:w="0" w:type="dxa"/>
          </w:tblCellMar>
        </w:tblPrEx>
        <w:tc>
          <w:tcPr>
            <w:tcW w:w="4500" w:type="dxa"/>
            <w:tcMar>
              <w:top w:w="40" w:type="dxa"/>
              <w:left w:w="0" w:type="dxa"/>
              <w:bottom w:w="40" w:type="dxa"/>
              <w:right w:w="120" w:type="dxa"/>
            </w:tcMar>
          </w:tcPr>
          <w:p w14:paraId="408E41FF" w14:textId="77777777" w:rsidR="009D3E6F" w:rsidRDefault="00000000">
            <w:r>
              <w:rPr>
                <w:b/>
                <w:bCs/>
                <w:color w:val="2E5FA3"/>
              </w:rPr>
              <w:t xml:space="preserve">• </w:t>
            </w:r>
            <w:r>
              <w:rPr>
                <w:color w:val="222222"/>
              </w:rPr>
              <w:t>Contractual Risk Allocation Analysis</w:t>
            </w:r>
          </w:p>
        </w:tc>
        <w:tc>
          <w:tcPr>
            <w:tcW w:w="4860" w:type="dxa"/>
            <w:tcMar>
              <w:top w:w="40" w:type="dxa"/>
              <w:left w:w="120" w:type="dxa"/>
              <w:bottom w:w="40" w:type="dxa"/>
              <w:right w:w="0" w:type="dxa"/>
            </w:tcMar>
          </w:tcPr>
          <w:p w14:paraId="408E4200" w14:textId="77777777" w:rsidR="009D3E6F" w:rsidRDefault="00000000">
            <w:r>
              <w:rPr>
                <w:b/>
                <w:bCs/>
                <w:color w:val="2E5FA3"/>
              </w:rPr>
              <w:t xml:space="preserve">• </w:t>
            </w:r>
            <w:r>
              <w:rPr>
                <w:color w:val="222222"/>
              </w:rPr>
              <w:t>Operator Negligence &amp; Premises Liability</w:t>
            </w:r>
          </w:p>
        </w:tc>
      </w:tr>
    </w:tbl>
    <w:p w14:paraId="408E4202" w14:textId="77777777" w:rsidR="009D3E6F" w:rsidRDefault="009D3E6F">
      <w:pPr>
        <w:spacing w:after="160"/>
      </w:pPr>
    </w:p>
    <w:p w14:paraId="408E4203" w14:textId="77777777" w:rsidR="009D3E6F" w:rsidRDefault="00000000">
      <w:pPr>
        <w:pBdr>
          <w:bottom w:val="single" w:sz="8" w:space="4" w:color="2E5FA3"/>
        </w:pBdr>
        <w:spacing w:before="320" w:after="80"/>
      </w:pPr>
      <w:r>
        <w:rPr>
          <w:b/>
          <w:bCs/>
          <w:caps/>
          <w:color w:val="1B3A6B"/>
          <w:sz w:val="22"/>
          <w:szCs w:val="22"/>
        </w:rPr>
        <w:t>LITIGATION SUPPORT &amp; EXPERT WITNESS EXPERIENCE</w:t>
      </w:r>
    </w:p>
    <w:p w14:paraId="408E4204" w14:textId="77777777" w:rsidR="009D3E6F" w:rsidRDefault="009D3E6F">
      <w:pPr>
        <w:spacing w:after="60"/>
      </w:pPr>
    </w:p>
    <w:p w14:paraId="408E4205" w14:textId="06D7507B" w:rsidR="009D3E6F" w:rsidRDefault="00000000">
      <w:pPr>
        <w:spacing w:before="60" w:after="60"/>
      </w:pPr>
      <w:r>
        <w:rPr>
          <w:color w:val="222222"/>
        </w:rPr>
        <w:t xml:space="preserve">Mr. Jay has been </w:t>
      </w:r>
      <w:r w:rsidR="006442C2">
        <w:rPr>
          <w:color w:val="222222"/>
        </w:rPr>
        <w:t>assisted</w:t>
      </w:r>
      <w:r>
        <w:rPr>
          <w:color w:val="222222"/>
        </w:rPr>
        <w:t xml:space="preserve"> as an expert and litigation consultant in matters involving:</w:t>
      </w:r>
    </w:p>
    <w:p w14:paraId="408E4206" w14:textId="77777777" w:rsidR="009D3E6F" w:rsidRDefault="009D3E6F">
      <w:pPr>
        <w:spacing w:after="40"/>
      </w:pPr>
    </w:p>
    <w:p w14:paraId="408E4207" w14:textId="77777777" w:rsidR="009D3E6F" w:rsidRDefault="00000000">
      <w:pPr>
        <w:pStyle w:val="ListParagraph"/>
        <w:numPr>
          <w:ilvl w:val="0"/>
          <w:numId w:val="2"/>
        </w:numPr>
        <w:spacing w:before="40" w:after="40"/>
      </w:pPr>
      <w:r>
        <w:rPr>
          <w:color w:val="222222"/>
        </w:rPr>
        <w:t>Zipline fatality and catastrophic injury cases</w:t>
      </w:r>
    </w:p>
    <w:p w14:paraId="408E4208" w14:textId="6C768683" w:rsidR="009D3E6F" w:rsidRDefault="00103704">
      <w:pPr>
        <w:pStyle w:val="ListParagraph"/>
        <w:numPr>
          <w:ilvl w:val="0"/>
          <w:numId w:val="2"/>
        </w:numPr>
        <w:spacing w:before="40" w:after="40"/>
      </w:pPr>
      <w:r>
        <w:rPr>
          <w:color w:val="222222"/>
        </w:rPr>
        <w:t>Trampoline Park</w:t>
      </w:r>
      <w:r w:rsidR="00000000">
        <w:rPr>
          <w:color w:val="222222"/>
        </w:rPr>
        <w:t xml:space="preserve"> injury matters involving supervision failures and ASTM F2970 compliance</w:t>
      </w:r>
    </w:p>
    <w:p w14:paraId="408E4209" w14:textId="77777777" w:rsidR="009D3E6F" w:rsidRDefault="00000000">
      <w:pPr>
        <w:pStyle w:val="ListParagraph"/>
        <w:numPr>
          <w:ilvl w:val="0"/>
          <w:numId w:val="2"/>
        </w:numPr>
        <w:spacing w:before="40" w:after="40"/>
      </w:pPr>
      <w:r>
        <w:rPr>
          <w:color w:val="222222"/>
        </w:rPr>
        <w:t>Indoor playground injury claims involving soft-contained play equipment</w:t>
      </w:r>
    </w:p>
    <w:p w14:paraId="408E420A" w14:textId="77777777" w:rsidR="009D3E6F" w:rsidRDefault="00000000">
      <w:pPr>
        <w:pStyle w:val="ListParagraph"/>
        <w:numPr>
          <w:ilvl w:val="0"/>
          <w:numId w:val="2"/>
        </w:numPr>
        <w:spacing w:before="40" w:after="40"/>
      </w:pPr>
      <w:r>
        <w:rPr>
          <w:color w:val="222222"/>
        </w:rPr>
        <w:t>Operator negligence and failure-to-supervise allegations</w:t>
      </w:r>
    </w:p>
    <w:p w14:paraId="408E420B" w14:textId="77777777" w:rsidR="009D3E6F" w:rsidRDefault="00000000">
      <w:pPr>
        <w:pStyle w:val="ListParagraph"/>
        <w:numPr>
          <w:ilvl w:val="0"/>
          <w:numId w:val="2"/>
        </w:numPr>
        <w:spacing w:before="40" w:after="40"/>
      </w:pPr>
      <w:r>
        <w:rPr>
          <w:color w:val="222222"/>
        </w:rPr>
        <w:t>Equipment design defect and manufacturer compliance allegations</w:t>
      </w:r>
    </w:p>
    <w:p w14:paraId="408E420C" w14:textId="77777777" w:rsidR="009D3E6F" w:rsidRDefault="00000000">
      <w:pPr>
        <w:pStyle w:val="ListParagraph"/>
        <w:numPr>
          <w:ilvl w:val="0"/>
          <w:numId w:val="2"/>
        </w:numPr>
        <w:spacing w:before="40" w:after="40"/>
      </w:pPr>
      <w:r>
        <w:rPr>
          <w:color w:val="222222"/>
        </w:rPr>
        <w:t>Insurance denial disputes and coverage analysis</w:t>
      </w:r>
    </w:p>
    <w:p w14:paraId="408E420D" w14:textId="77777777" w:rsidR="009D3E6F" w:rsidRDefault="009D3E6F">
      <w:pPr>
        <w:spacing w:after="80"/>
      </w:pPr>
    </w:p>
    <w:p w14:paraId="408E420E" w14:textId="77777777" w:rsidR="009D3E6F" w:rsidRDefault="00000000">
      <w:pPr>
        <w:spacing w:before="160" w:after="40"/>
      </w:pPr>
      <w:r>
        <w:rPr>
          <w:b/>
          <w:bCs/>
          <w:color w:val="2E5FA3"/>
          <w:sz w:val="22"/>
          <w:szCs w:val="22"/>
        </w:rPr>
        <w:t>Services Provided</w:t>
      </w:r>
    </w:p>
    <w:p w14:paraId="408E420F" w14:textId="77777777" w:rsidR="009D3E6F" w:rsidRDefault="00000000">
      <w:pPr>
        <w:pStyle w:val="ListParagraph"/>
        <w:numPr>
          <w:ilvl w:val="0"/>
          <w:numId w:val="2"/>
        </w:numPr>
        <w:spacing w:before="40" w:after="40"/>
      </w:pPr>
      <w:r>
        <w:rPr>
          <w:color w:val="222222"/>
        </w:rPr>
        <w:t>Standard-of-care analysis and expert reports</w:t>
      </w:r>
    </w:p>
    <w:p w14:paraId="408E4210" w14:textId="77777777" w:rsidR="009D3E6F" w:rsidRDefault="00000000">
      <w:pPr>
        <w:pStyle w:val="ListParagraph"/>
        <w:numPr>
          <w:ilvl w:val="0"/>
          <w:numId w:val="2"/>
        </w:numPr>
        <w:spacing w:before="40" w:after="40"/>
      </w:pPr>
      <w:r>
        <w:rPr>
          <w:color w:val="222222"/>
        </w:rPr>
        <w:t>Site inspections and facility audits</w:t>
      </w:r>
    </w:p>
    <w:p w14:paraId="408E4211" w14:textId="77777777" w:rsidR="009D3E6F" w:rsidRDefault="00000000">
      <w:pPr>
        <w:pStyle w:val="ListParagraph"/>
        <w:numPr>
          <w:ilvl w:val="0"/>
          <w:numId w:val="2"/>
        </w:numPr>
        <w:spacing w:before="40" w:after="40"/>
      </w:pPr>
      <w:r>
        <w:rPr>
          <w:color w:val="222222"/>
        </w:rPr>
        <w:t>Discovery assistance — interrogatories, RFAs, RFPs, and document review</w:t>
      </w:r>
    </w:p>
    <w:p w14:paraId="408E4212" w14:textId="77777777" w:rsidR="009D3E6F" w:rsidRDefault="00000000">
      <w:pPr>
        <w:pStyle w:val="ListParagraph"/>
        <w:numPr>
          <w:ilvl w:val="0"/>
          <w:numId w:val="2"/>
        </w:numPr>
        <w:spacing w:before="40" w:after="40"/>
      </w:pPr>
      <w:r>
        <w:rPr>
          <w:color w:val="222222"/>
        </w:rPr>
        <w:t>Review of ASTM, PRCA, ACCT, and manufacturer standards and guidelines</w:t>
      </w:r>
    </w:p>
    <w:p w14:paraId="408E4213" w14:textId="77777777" w:rsidR="009D3E6F" w:rsidRDefault="00000000">
      <w:pPr>
        <w:pStyle w:val="ListParagraph"/>
        <w:numPr>
          <w:ilvl w:val="0"/>
          <w:numId w:val="2"/>
        </w:numPr>
        <w:spacing w:before="40" w:after="40"/>
      </w:pPr>
      <w:r>
        <w:rPr>
          <w:color w:val="222222"/>
        </w:rPr>
        <w:t>Deposition testimony</w:t>
      </w:r>
    </w:p>
    <w:p w14:paraId="408E4214" w14:textId="77777777" w:rsidR="009D3E6F" w:rsidRDefault="00000000">
      <w:pPr>
        <w:pStyle w:val="ListParagraph"/>
        <w:numPr>
          <w:ilvl w:val="0"/>
          <w:numId w:val="2"/>
        </w:numPr>
        <w:spacing w:before="40" w:after="40"/>
      </w:pPr>
      <w:r>
        <w:rPr>
          <w:color w:val="222222"/>
        </w:rPr>
        <w:t>Trial testimony</w:t>
      </w:r>
    </w:p>
    <w:p w14:paraId="408E4215" w14:textId="77777777" w:rsidR="009D3E6F" w:rsidRDefault="00000000">
      <w:pPr>
        <w:pStyle w:val="ListParagraph"/>
        <w:numPr>
          <w:ilvl w:val="0"/>
          <w:numId w:val="2"/>
        </w:numPr>
        <w:spacing w:before="40" w:after="40"/>
      </w:pPr>
      <w:r>
        <w:rPr>
          <w:color w:val="222222"/>
        </w:rPr>
        <w:t>Pre-litigation case evaluation</w:t>
      </w:r>
    </w:p>
    <w:p w14:paraId="408E4216" w14:textId="77777777" w:rsidR="009D3E6F" w:rsidRDefault="009D3E6F">
      <w:pPr>
        <w:spacing w:after="80"/>
      </w:pPr>
    </w:p>
    <w:p w14:paraId="408E4217" w14:textId="77777777" w:rsidR="009D3E6F" w:rsidRDefault="00000000">
      <w:pPr>
        <w:spacing w:before="60" w:after="60"/>
      </w:pPr>
      <w:r>
        <w:rPr>
          <w:color w:val="222222"/>
        </w:rPr>
        <w:t>Available for plaintiff and defense engagements. Available nationwide.</w:t>
      </w:r>
    </w:p>
    <w:p w14:paraId="408E4218" w14:textId="77777777" w:rsidR="009D3E6F" w:rsidRDefault="009D3E6F">
      <w:pPr>
        <w:spacing w:after="160"/>
      </w:pPr>
    </w:p>
    <w:p w14:paraId="408E4219" w14:textId="77777777" w:rsidR="009D3E6F" w:rsidRDefault="00000000">
      <w:pPr>
        <w:pBdr>
          <w:bottom w:val="single" w:sz="8" w:space="4" w:color="2E5FA3"/>
        </w:pBdr>
        <w:spacing w:before="320" w:after="80"/>
      </w:pPr>
      <w:r>
        <w:rPr>
          <w:b/>
          <w:bCs/>
          <w:caps/>
          <w:color w:val="1B3A6B"/>
          <w:sz w:val="22"/>
          <w:szCs w:val="22"/>
        </w:rPr>
        <w:t>INDUSTRY EXPERIENCE</w:t>
      </w:r>
    </w:p>
    <w:p w14:paraId="408E421A" w14:textId="4B247EB8" w:rsidR="009D3E6F" w:rsidRDefault="00000000">
      <w:pPr>
        <w:tabs>
          <w:tab w:val="right" w:pos="9360"/>
        </w:tabs>
        <w:spacing w:before="140" w:after="20"/>
      </w:pPr>
      <w:r>
        <w:rPr>
          <w:b/>
          <w:bCs/>
          <w:color w:val="1B3A6B"/>
          <w:sz w:val="22"/>
          <w:szCs w:val="22"/>
        </w:rPr>
        <w:t xml:space="preserve">Founder &amp; </w:t>
      </w:r>
      <w:r w:rsidR="00DF25CB">
        <w:rPr>
          <w:b/>
          <w:bCs/>
          <w:color w:val="1B3A6B"/>
          <w:sz w:val="22"/>
          <w:szCs w:val="22"/>
        </w:rPr>
        <w:t>Owner</w:t>
      </w:r>
      <w:r w:rsidR="00DF25CB">
        <w:rPr>
          <w:color w:val="555555"/>
          <w:sz w:val="22"/>
          <w:szCs w:val="22"/>
        </w:rPr>
        <w:t xml:space="preserve"> — Coconut</w:t>
      </w:r>
      <w:r>
        <w:rPr>
          <w:i/>
          <w:iCs/>
          <w:color w:val="555555"/>
          <w:sz w:val="22"/>
          <w:szCs w:val="22"/>
        </w:rPr>
        <w:t xml:space="preserve"> Cove Indoor Playgrounds</w:t>
      </w:r>
      <w:r>
        <w:rPr>
          <w:sz w:val="22"/>
          <w:szCs w:val="22"/>
        </w:rPr>
        <w:tab/>
      </w:r>
      <w:r>
        <w:rPr>
          <w:color w:val="555555"/>
          <w:sz w:val="20"/>
          <w:szCs w:val="20"/>
        </w:rPr>
        <w:t>2015 – 2024</w:t>
      </w:r>
    </w:p>
    <w:p w14:paraId="408E421B" w14:textId="77777777" w:rsidR="009D3E6F" w:rsidRDefault="00000000">
      <w:pPr>
        <w:spacing w:before="60" w:after="60"/>
      </w:pPr>
      <w:r>
        <w:rPr>
          <w:color w:val="222222"/>
        </w:rPr>
        <w:t>Founded and operated a soft-contained indoor playground amusement park with two Utah locations and a franchise model. The facility served approximately 275,000 visitors over nine years of operation.</w:t>
      </w:r>
    </w:p>
    <w:p w14:paraId="408E421C" w14:textId="77777777" w:rsidR="009D3E6F" w:rsidRDefault="009D3E6F">
      <w:pPr>
        <w:spacing w:after="60"/>
      </w:pPr>
    </w:p>
    <w:p w14:paraId="408E421D" w14:textId="77777777" w:rsidR="009D3E6F" w:rsidRDefault="00000000">
      <w:pPr>
        <w:spacing w:before="160" w:after="40"/>
      </w:pPr>
      <w:r>
        <w:rPr>
          <w:b/>
          <w:bCs/>
          <w:color w:val="2E5FA3"/>
          <w:sz w:val="22"/>
          <w:szCs w:val="22"/>
        </w:rPr>
        <w:t>Operational Responsibilities</w:t>
      </w:r>
    </w:p>
    <w:p w14:paraId="408E421E" w14:textId="77777777" w:rsidR="009D3E6F" w:rsidRDefault="00000000">
      <w:pPr>
        <w:pStyle w:val="ListParagraph"/>
        <w:numPr>
          <w:ilvl w:val="0"/>
          <w:numId w:val="2"/>
        </w:numPr>
        <w:spacing w:before="40" w:after="40"/>
      </w:pPr>
      <w:r>
        <w:rPr>
          <w:color w:val="222222"/>
        </w:rPr>
        <w:t>Collaborated with manufacturers on facility design, layout, and equipment selection</w:t>
      </w:r>
    </w:p>
    <w:p w14:paraId="408E421F" w14:textId="77777777" w:rsidR="009D3E6F" w:rsidRDefault="00000000">
      <w:pPr>
        <w:pStyle w:val="ListParagraph"/>
        <w:numPr>
          <w:ilvl w:val="0"/>
          <w:numId w:val="2"/>
        </w:numPr>
        <w:spacing w:before="40" w:after="40"/>
      </w:pPr>
      <w:r>
        <w:rPr>
          <w:color w:val="222222"/>
        </w:rPr>
        <w:t>Managed building inspection compliance and occupancy permitting</w:t>
      </w:r>
    </w:p>
    <w:p w14:paraId="408E4220" w14:textId="77777777" w:rsidR="009D3E6F" w:rsidRDefault="00000000">
      <w:pPr>
        <w:pStyle w:val="ListParagraph"/>
        <w:numPr>
          <w:ilvl w:val="0"/>
          <w:numId w:val="2"/>
        </w:numPr>
        <w:spacing w:before="40" w:after="40"/>
      </w:pPr>
      <w:r>
        <w:rPr>
          <w:color w:val="222222"/>
        </w:rPr>
        <w:t>Integrated ASTM standards into daily operational policies and procedures</w:t>
      </w:r>
    </w:p>
    <w:p w14:paraId="408E4221" w14:textId="77777777" w:rsidR="009D3E6F" w:rsidRDefault="00000000">
      <w:pPr>
        <w:pStyle w:val="ListParagraph"/>
        <w:numPr>
          <w:ilvl w:val="0"/>
          <w:numId w:val="2"/>
        </w:numPr>
        <w:spacing w:before="40" w:after="40"/>
      </w:pPr>
      <w:r>
        <w:rPr>
          <w:color w:val="222222"/>
        </w:rPr>
        <w:t>Developed and delivered staff training and supervision protocols</w:t>
      </w:r>
    </w:p>
    <w:p w14:paraId="408E4222" w14:textId="77777777" w:rsidR="009D3E6F" w:rsidRDefault="00000000">
      <w:pPr>
        <w:pStyle w:val="ListParagraph"/>
        <w:numPr>
          <w:ilvl w:val="0"/>
          <w:numId w:val="2"/>
        </w:numPr>
        <w:spacing w:before="40" w:after="40"/>
      </w:pPr>
      <w:r>
        <w:rPr>
          <w:color w:val="222222"/>
        </w:rPr>
        <w:lastRenderedPageBreak/>
        <w:t>Implemented incident documentation, injury response, and reporting systems</w:t>
      </w:r>
    </w:p>
    <w:p w14:paraId="408E4223" w14:textId="77777777" w:rsidR="009D3E6F" w:rsidRDefault="00000000">
      <w:pPr>
        <w:pStyle w:val="ListParagraph"/>
        <w:numPr>
          <w:ilvl w:val="0"/>
          <w:numId w:val="2"/>
        </w:numPr>
        <w:spacing w:before="40" w:after="40"/>
      </w:pPr>
      <w:r>
        <w:rPr>
          <w:color w:val="222222"/>
        </w:rPr>
        <w:t>Coordinated with insurance carriers on coverage, claims, and risk management</w:t>
      </w:r>
    </w:p>
    <w:p w14:paraId="408E4224" w14:textId="77777777" w:rsidR="009D3E6F" w:rsidRDefault="00000000">
      <w:pPr>
        <w:pStyle w:val="ListParagraph"/>
        <w:numPr>
          <w:ilvl w:val="0"/>
          <w:numId w:val="2"/>
        </w:numPr>
        <w:spacing w:before="40" w:after="40"/>
      </w:pPr>
      <w:r>
        <w:rPr>
          <w:color w:val="222222"/>
        </w:rPr>
        <w:t>Maintained equipment inspection schedules and maintenance programs</w:t>
      </w:r>
    </w:p>
    <w:p w14:paraId="408E4225" w14:textId="77777777" w:rsidR="009D3E6F" w:rsidRDefault="00000000">
      <w:pPr>
        <w:pStyle w:val="ListParagraph"/>
        <w:numPr>
          <w:ilvl w:val="0"/>
          <w:numId w:val="2"/>
        </w:numPr>
        <w:spacing w:before="40" w:after="40"/>
      </w:pPr>
      <w:r>
        <w:rPr>
          <w:color w:val="222222"/>
        </w:rPr>
        <w:t>Enforced waiver and assumption-of-risk policies for all participants</w:t>
      </w:r>
    </w:p>
    <w:p w14:paraId="408E4226" w14:textId="77777777" w:rsidR="009D3E6F" w:rsidRDefault="009D3E6F">
      <w:pPr>
        <w:spacing w:after="60"/>
      </w:pPr>
    </w:p>
    <w:p w14:paraId="408E4227" w14:textId="77777777" w:rsidR="009D3E6F" w:rsidRDefault="00000000">
      <w:pPr>
        <w:spacing w:before="160" w:after="40"/>
      </w:pPr>
      <w:r>
        <w:rPr>
          <w:b/>
          <w:bCs/>
          <w:color w:val="2E5FA3"/>
          <w:sz w:val="22"/>
          <w:szCs w:val="22"/>
        </w:rPr>
        <w:t>Attraction Types Operated</w:t>
      </w:r>
    </w:p>
    <w:p w14:paraId="408E4228" w14:textId="77777777" w:rsidR="009D3E6F" w:rsidRDefault="00000000">
      <w:pPr>
        <w:pStyle w:val="ListParagraph"/>
        <w:numPr>
          <w:ilvl w:val="0"/>
          <w:numId w:val="2"/>
        </w:numPr>
        <w:spacing w:before="40" w:after="40"/>
      </w:pPr>
      <w:r>
        <w:rPr>
          <w:color w:val="222222"/>
        </w:rPr>
        <w:t>Soft-contained climbing structures, slides, and enclosed play systems</w:t>
      </w:r>
    </w:p>
    <w:p w14:paraId="408E4229" w14:textId="77777777" w:rsidR="009D3E6F" w:rsidRDefault="00000000">
      <w:pPr>
        <w:pStyle w:val="ListParagraph"/>
        <w:numPr>
          <w:ilvl w:val="0"/>
          <w:numId w:val="2"/>
        </w:numPr>
        <w:spacing w:before="40" w:after="40"/>
      </w:pPr>
      <w:r>
        <w:rPr>
          <w:color w:val="222222"/>
        </w:rPr>
        <w:t>Trampoline features (subject to ASTM F2970)</w:t>
      </w:r>
    </w:p>
    <w:p w14:paraId="408E422A" w14:textId="77777777" w:rsidR="009D3E6F" w:rsidRDefault="00000000">
      <w:pPr>
        <w:pStyle w:val="ListParagraph"/>
        <w:numPr>
          <w:ilvl w:val="0"/>
          <w:numId w:val="2"/>
        </w:numPr>
        <w:spacing w:before="40" w:after="40"/>
      </w:pPr>
      <w:r>
        <w:rPr>
          <w:color w:val="222222"/>
        </w:rPr>
        <w:t>Party and event hosting for groups</w:t>
      </w:r>
    </w:p>
    <w:p w14:paraId="408E422B" w14:textId="77777777" w:rsidR="009D3E6F" w:rsidRDefault="009D3E6F">
      <w:pPr>
        <w:spacing w:after="80"/>
      </w:pPr>
    </w:p>
    <w:p w14:paraId="408E422C" w14:textId="77777777" w:rsidR="009D3E6F" w:rsidRDefault="00000000">
      <w:pPr>
        <w:spacing w:before="160" w:after="40"/>
      </w:pPr>
      <w:r>
        <w:rPr>
          <w:b/>
          <w:bCs/>
          <w:color w:val="2E5FA3"/>
          <w:sz w:val="22"/>
          <w:szCs w:val="22"/>
        </w:rPr>
        <w:t>Trampoline Operations &amp; ASTM F2970 Compliance</w:t>
      </w:r>
    </w:p>
    <w:p w14:paraId="408E422D" w14:textId="77777777" w:rsidR="009D3E6F" w:rsidRDefault="00000000">
      <w:pPr>
        <w:spacing w:before="60" w:after="60"/>
      </w:pPr>
      <w:r>
        <w:rPr>
          <w:color w:val="222222"/>
        </w:rPr>
        <w:t>Coconut Cove included trampoline features requiring compliance with ASTM F2970. Direct operational experience includes:</w:t>
      </w:r>
    </w:p>
    <w:p w14:paraId="408E422E" w14:textId="77777777" w:rsidR="009D3E6F" w:rsidRDefault="009D3E6F">
      <w:pPr>
        <w:spacing w:after="40"/>
      </w:pPr>
    </w:p>
    <w:p w14:paraId="408E422F" w14:textId="77777777" w:rsidR="009D3E6F" w:rsidRDefault="00000000">
      <w:pPr>
        <w:pStyle w:val="ListParagraph"/>
        <w:numPr>
          <w:ilvl w:val="0"/>
          <w:numId w:val="2"/>
        </w:numPr>
        <w:spacing w:before="40" w:after="40"/>
      </w:pPr>
      <w:r>
        <w:rPr>
          <w:color w:val="222222"/>
        </w:rPr>
        <w:t>Court layout, padding standards, and clearance requirements</w:t>
      </w:r>
    </w:p>
    <w:p w14:paraId="408E4230" w14:textId="77777777" w:rsidR="009D3E6F" w:rsidRDefault="00000000">
      <w:pPr>
        <w:pStyle w:val="ListParagraph"/>
        <w:numPr>
          <w:ilvl w:val="0"/>
          <w:numId w:val="2"/>
        </w:numPr>
        <w:spacing w:before="40" w:after="40"/>
      </w:pPr>
      <w:r>
        <w:rPr>
          <w:color w:val="222222"/>
        </w:rPr>
        <w:t>Staff positioning, supervision ratios, and participant control</w:t>
      </w:r>
    </w:p>
    <w:p w14:paraId="408E4231" w14:textId="77777777" w:rsidR="009D3E6F" w:rsidRDefault="00000000">
      <w:pPr>
        <w:pStyle w:val="ListParagraph"/>
        <w:numPr>
          <w:ilvl w:val="0"/>
          <w:numId w:val="2"/>
        </w:numPr>
        <w:spacing w:before="40" w:after="40"/>
      </w:pPr>
      <w:r>
        <w:rPr>
          <w:color w:val="222222"/>
        </w:rPr>
        <w:t>High-risk maneuver policies and participant weight/age restrictions</w:t>
      </w:r>
    </w:p>
    <w:p w14:paraId="408E4232" w14:textId="77777777" w:rsidR="009D3E6F" w:rsidRDefault="00000000">
      <w:pPr>
        <w:pStyle w:val="ListParagraph"/>
        <w:numPr>
          <w:ilvl w:val="0"/>
          <w:numId w:val="2"/>
        </w:numPr>
        <w:spacing w:before="40" w:after="40"/>
      </w:pPr>
      <w:r>
        <w:rPr>
          <w:color w:val="222222"/>
        </w:rPr>
        <w:t>Injury documentation protocols and manufacturer installation guidelines</w:t>
      </w:r>
    </w:p>
    <w:p w14:paraId="408E4233" w14:textId="77777777" w:rsidR="009D3E6F" w:rsidRDefault="00000000">
      <w:pPr>
        <w:pStyle w:val="ListParagraph"/>
        <w:numPr>
          <w:ilvl w:val="0"/>
          <w:numId w:val="2"/>
        </w:numPr>
        <w:spacing w:before="40" w:after="40"/>
      </w:pPr>
      <w:r>
        <w:rPr>
          <w:color w:val="222222"/>
        </w:rPr>
        <w:t>Utah legislative adoption of ASTM F2970 and regulatory compliance</w:t>
      </w:r>
    </w:p>
    <w:p w14:paraId="408E4234" w14:textId="77777777" w:rsidR="009D3E6F" w:rsidRDefault="009D3E6F">
      <w:pPr>
        <w:spacing w:after="80"/>
      </w:pPr>
    </w:p>
    <w:p w14:paraId="408E4235" w14:textId="77777777" w:rsidR="009D3E6F" w:rsidRDefault="00000000">
      <w:pPr>
        <w:spacing w:before="160" w:after="40"/>
      </w:pPr>
      <w:r>
        <w:rPr>
          <w:b/>
          <w:bCs/>
          <w:color w:val="2E5FA3"/>
          <w:sz w:val="22"/>
          <w:szCs w:val="22"/>
        </w:rPr>
        <w:t>Zipline &amp; Challenge Course Industry Involvement</w:t>
      </w:r>
    </w:p>
    <w:p w14:paraId="408E4236" w14:textId="77777777" w:rsidR="009D3E6F" w:rsidRDefault="00000000">
      <w:pPr>
        <w:pStyle w:val="ListParagraph"/>
        <w:numPr>
          <w:ilvl w:val="0"/>
          <w:numId w:val="2"/>
        </w:numPr>
        <w:spacing w:before="40" w:after="40"/>
      </w:pPr>
      <w:r>
        <w:rPr>
          <w:color w:val="222222"/>
        </w:rPr>
        <w:t>Active ASTM F24 voting/participating member, including F2959 (Zipline) task group</w:t>
      </w:r>
    </w:p>
    <w:p w14:paraId="408E4237" w14:textId="77777777" w:rsidR="009D3E6F" w:rsidRDefault="00000000">
      <w:pPr>
        <w:pStyle w:val="ListParagraph"/>
        <w:numPr>
          <w:ilvl w:val="0"/>
          <w:numId w:val="2"/>
        </w:numPr>
        <w:spacing w:before="40" w:after="40"/>
      </w:pPr>
      <w:r>
        <w:rPr>
          <w:color w:val="222222"/>
        </w:rPr>
        <w:t>Member, PRCA (Professional Ropes Course Association)</w:t>
      </w:r>
    </w:p>
    <w:p w14:paraId="408E4238" w14:textId="77777777" w:rsidR="009D3E6F" w:rsidRDefault="00000000">
      <w:pPr>
        <w:pStyle w:val="ListParagraph"/>
        <w:numPr>
          <w:ilvl w:val="0"/>
          <w:numId w:val="2"/>
        </w:numPr>
        <w:spacing w:before="40" w:after="40"/>
      </w:pPr>
      <w:r>
        <w:rPr>
          <w:color w:val="222222"/>
        </w:rPr>
        <w:t>Participant, ACCT (Association for Challenge Course Technology)</w:t>
      </w:r>
    </w:p>
    <w:p w14:paraId="408E4239" w14:textId="77777777" w:rsidR="009D3E6F" w:rsidRDefault="00000000">
      <w:pPr>
        <w:pStyle w:val="ListParagraph"/>
        <w:numPr>
          <w:ilvl w:val="0"/>
          <w:numId w:val="2"/>
        </w:numPr>
        <w:spacing w:before="40" w:after="40"/>
      </w:pPr>
      <w:r>
        <w:rPr>
          <w:color w:val="222222"/>
        </w:rPr>
        <w:t>Consults with industry manufacturers including Safer Designs on zipline braking systems and compliance</w:t>
      </w:r>
    </w:p>
    <w:p w14:paraId="408E423A" w14:textId="77777777" w:rsidR="009D3E6F" w:rsidRDefault="00000000">
      <w:pPr>
        <w:pStyle w:val="ListParagraph"/>
        <w:numPr>
          <w:ilvl w:val="0"/>
          <w:numId w:val="2"/>
        </w:numPr>
        <w:spacing w:before="40" w:after="40"/>
      </w:pPr>
      <w:r>
        <w:rPr>
          <w:color w:val="222222"/>
        </w:rPr>
        <w:t>Working knowledge of braking systems, cable tension, platform design, participant weight limits, staff rescue protocols, training documentation, and inspection intervals</w:t>
      </w:r>
    </w:p>
    <w:p w14:paraId="408E423B" w14:textId="77777777" w:rsidR="009D3E6F" w:rsidRDefault="009D3E6F">
      <w:pPr>
        <w:spacing w:after="160"/>
      </w:pPr>
    </w:p>
    <w:p w14:paraId="408E423C" w14:textId="77777777" w:rsidR="009D3E6F" w:rsidRDefault="00000000">
      <w:pPr>
        <w:pBdr>
          <w:bottom w:val="single" w:sz="8" w:space="4" w:color="2E5FA3"/>
        </w:pBdr>
        <w:spacing w:before="320" w:after="80"/>
      </w:pPr>
      <w:r>
        <w:rPr>
          <w:b/>
          <w:bCs/>
          <w:caps/>
          <w:color w:val="1B3A6B"/>
          <w:sz w:val="22"/>
          <w:szCs w:val="22"/>
        </w:rPr>
        <w:t>STANDARDS &amp; PROFESSIONAL MEMBERSHIPS</w:t>
      </w:r>
    </w:p>
    <w:p w14:paraId="408E423D" w14:textId="77777777" w:rsidR="009D3E6F" w:rsidRDefault="009D3E6F">
      <w:pPr>
        <w:spacing w:after="6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500"/>
        <w:gridCol w:w="4860"/>
      </w:tblGrid>
      <w:tr w:rsidR="009D3E6F" w14:paraId="408E4240" w14:textId="77777777">
        <w:tblPrEx>
          <w:tblCellMar>
            <w:top w:w="0" w:type="dxa"/>
            <w:bottom w:w="0" w:type="dxa"/>
          </w:tblCellMar>
        </w:tblPrEx>
        <w:tc>
          <w:tcPr>
            <w:tcW w:w="4500" w:type="dxa"/>
            <w:tcMar>
              <w:top w:w="40" w:type="dxa"/>
              <w:left w:w="0" w:type="dxa"/>
              <w:bottom w:w="40" w:type="dxa"/>
              <w:right w:w="120" w:type="dxa"/>
            </w:tcMar>
          </w:tcPr>
          <w:p w14:paraId="408E423E" w14:textId="77777777" w:rsidR="009D3E6F" w:rsidRDefault="00000000">
            <w:r>
              <w:rPr>
                <w:b/>
                <w:bCs/>
                <w:color w:val="2E5FA3"/>
              </w:rPr>
              <w:t xml:space="preserve">• </w:t>
            </w:r>
            <w:r>
              <w:rPr>
                <w:color w:val="222222"/>
              </w:rPr>
              <w:t>ASTM F24 – Amusement Rides &amp; Devices (Voting Member)</w:t>
            </w:r>
          </w:p>
        </w:tc>
        <w:tc>
          <w:tcPr>
            <w:tcW w:w="4860" w:type="dxa"/>
            <w:tcMar>
              <w:top w:w="40" w:type="dxa"/>
              <w:left w:w="120" w:type="dxa"/>
              <w:bottom w:w="40" w:type="dxa"/>
              <w:right w:w="0" w:type="dxa"/>
            </w:tcMar>
          </w:tcPr>
          <w:p w14:paraId="408E423F" w14:textId="77777777" w:rsidR="009D3E6F" w:rsidRDefault="00000000">
            <w:r>
              <w:rPr>
                <w:b/>
                <w:bCs/>
                <w:color w:val="2E5FA3"/>
              </w:rPr>
              <w:t xml:space="preserve">• </w:t>
            </w:r>
            <w:r>
              <w:rPr>
                <w:color w:val="222222"/>
              </w:rPr>
              <w:t>ASTM F2970 – Trampoline Court Task Group</w:t>
            </w:r>
          </w:p>
        </w:tc>
      </w:tr>
      <w:tr w:rsidR="009D3E6F" w14:paraId="408E4243" w14:textId="77777777">
        <w:tblPrEx>
          <w:tblCellMar>
            <w:top w:w="0" w:type="dxa"/>
            <w:bottom w:w="0" w:type="dxa"/>
          </w:tblCellMar>
        </w:tblPrEx>
        <w:tc>
          <w:tcPr>
            <w:tcW w:w="4500" w:type="dxa"/>
            <w:tcMar>
              <w:top w:w="40" w:type="dxa"/>
              <w:left w:w="0" w:type="dxa"/>
              <w:bottom w:w="40" w:type="dxa"/>
              <w:right w:w="120" w:type="dxa"/>
            </w:tcMar>
          </w:tcPr>
          <w:p w14:paraId="408E4241" w14:textId="77777777" w:rsidR="009D3E6F" w:rsidRDefault="00000000">
            <w:r>
              <w:rPr>
                <w:b/>
                <w:bCs/>
                <w:color w:val="2E5FA3"/>
              </w:rPr>
              <w:t xml:space="preserve">• </w:t>
            </w:r>
            <w:r>
              <w:rPr>
                <w:color w:val="222222"/>
              </w:rPr>
              <w:t>ASTM F2959 – Zipline Systems</w:t>
            </w:r>
          </w:p>
        </w:tc>
        <w:tc>
          <w:tcPr>
            <w:tcW w:w="4860" w:type="dxa"/>
            <w:tcMar>
              <w:top w:w="40" w:type="dxa"/>
              <w:left w:w="120" w:type="dxa"/>
              <w:bottom w:w="40" w:type="dxa"/>
              <w:right w:w="0" w:type="dxa"/>
            </w:tcMar>
          </w:tcPr>
          <w:p w14:paraId="408E4242" w14:textId="4D5FE4BC" w:rsidR="009D3E6F" w:rsidRDefault="00000000">
            <w:r>
              <w:rPr>
                <w:b/>
                <w:bCs/>
                <w:color w:val="2E5FA3"/>
              </w:rPr>
              <w:t xml:space="preserve">• </w:t>
            </w:r>
            <w:r w:rsidR="00D33947">
              <w:rPr>
                <w:color w:val="222222"/>
              </w:rPr>
              <w:t xml:space="preserve">ASTM F1918 </w:t>
            </w:r>
            <w:r w:rsidR="0063091A">
              <w:rPr>
                <w:color w:val="222222"/>
              </w:rPr>
              <w:t>–</w:t>
            </w:r>
            <w:r w:rsidR="00D33947">
              <w:rPr>
                <w:color w:val="222222"/>
              </w:rPr>
              <w:t xml:space="preserve"> Soft</w:t>
            </w:r>
            <w:r w:rsidR="0063091A">
              <w:rPr>
                <w:color w:val="222222"/>
              </w:rPr>
              <w:t>-Contained Play Equipment</w:t>
            </w:r>
          </w:p>
        </w:tc>
      </w:tr>
      <w:tr w:rsidR="00D33947" w14:paraId="408E4246" w14:textId="77777777">
        <w:tblPrEx>
          <w:tblCellMar>
            <w:top w:w="0" w:type="dxa"/>
            <w:bottom w:w="0" w:type="dxa"/>
          </w:tblCellMar>
        </w:tblPrEx>
        <w:tc>
          <w:tcPr>
            <w:tcW w:w="4500" w:type="dxa"/>
            <w:tcMar>
              <w:top w:w="40" w:type="dxa"/>
              <w:left w:w="0" w:type="dxa"/>
              <w:bottom w:w="40" w:type="dxa"/>
              <w:right w:w="120" w:type="dxa"/>
            </w:tcMar>
          </w:tcPr>
          <w:p w14:paraId="408E4244" w14:textId="77777777" w:rsidR="00D33947" w:rsidRDefault="00D33947" w:rsidP="00D33947">
            <w:r>
              <w:rPr>
                <w:b/>
                <w:bCs/>
                <w:color w:val="2E5FA3"/>
              </w:rPr>
              <w:t xml:space="preserve">• </w:t>
            </w:r>
            <w:r>
              <w:rPr>
                <w:color w:val="222222"/>
              </w:rPr>
              <w:t>ACCT – Association for Challenge Course Technology</w:t>
            </w:r>
          </w:p>
        </w:tc>
        <w:tc>
          <w:tcPr>
            <w:tcW w:w="4860" w:type="dxa"/>
            <w:tcMar>
              <w:top w:w="40" w:type="dxa"/>
              <w:left w:w="120" w:type="dxa"/>
              <w:bottom w:w="40" w:type="dxa"/>
              <w:right w:w="0" w:type="dxa"/>
            </w:tcMar>
          </w:tcPr>
          <w:p w14:paraId="408E4245" w14:textId="0E106490" w:rsidR="00D33947" w:rsidRDefault="00D33947" w:rsidP="00D33947">
            <w:r>
              <w:rPr>
                <w:b/>
                <w:bCs/>
                <w:color w:val="2E5FA3"/>
              </w:rPr>
              <w:t xml:space="preserve">• </w:t>
            </w:r>
            <w:r>
              <w:rPr>
                <w:color w:val="222222"/>
              </w:rPr>
              <w:t>PRCA – Professional Ropes Course Association</w:t>
            </w:r>
          </w:p>
        </w:tc>
      </w:tr>
      <w:tr w:rsidR="00D33947" w14:paraId="408E4249" w14:textId="77777777">
        <w:tblPrEx>
          <w:tblCellMar>
            <w:top w:w="0" w:type="dxa"/>
            <w:bottom w:w="0" w:type="dxa"/>
          </w:tblCellMar>
        </w:tblPrEx>
        <w:tc>
          <w:tcPr>
            <w:tcW w:w="4500" w:type="dxa"/>
            <w:tcMar>
              <w:top w:w="40" w:type="dxa"/>
              <w:left w:w="0" w:type="dxa"/>
              <w:bottom w:w="40" w:type="dxa"/>
              <w:right w:w="120" w:type="dxa"/>
            </w:tcMar>
          </w:tcPr>
          <w:p w14:paraId="408E4247" w14:textId="77777777" w:rsidR="00D33947" w:rsidRDefault="00D33947" w:rsidP="00D33947">
            <w:r>
              <w:rPr>
                <w:b/>
                <w:bCs/>
                <w:color w:val="2E5FA3"/>
              </w:rPr>
              <w:t xml:space="preserve">• </w:t>
            </w:r>
            <w:r>
              <w:rPr>
                <w:color w:val="222222"/>
              </w:rPr>
              <w:t>Utah State Bar – Active Member (since 2010)</w:t>
            </w:r>
          </w:p>
        </w:tc>
        <w:tc>
          <w:tcPr>
            <w:tcW w:w="4860" w:type="dxa"/>
            <w:tcMar>
              <w:top w:w="40" w:type="dxa"/>
              <w:left w:w="120" w:type="dxa"/>
              <w:bottom w:w="40" w:type="dxa"/>
              <w:right w:w="0" w:type="dxa"/>
            </w:tcMar>
          </w:tcPr>
          <w:p w14:paraId="408E4248" w14:textId="25EE9246" w:rsidR="00D33947" w:rsidRDefault="00D33947" w:rsidP="00D33947">
            <w:r>
              <w:rPr>
                <w:b/>
                <w:bCs/>
                <w:color w:val="2E5FA3"/>
              </w:rPr>
              <w:t xml:space="preserve">• </w:t>
            </w:r>
            <w:r>
              <w:rPr>
                <w:color w:val="222222"/>
              </w:rPr>
              <w:t>IAAPA – Intl. Assoc. for Amusement Parks &amp; Attractions</w:t>
            </w:r>
          </w:p>
        </w:tc>
      </w:tr>
    </w:tbl>
    <w:p w14:paraId="408E424A" w14:textId="77777777" w:rsidR="009D3E6F" w:rsidRDefault="009D3E6F">
      <w:pPr>
        <w:spacing w:after="160"/>
      </w:pPr>
    </w:p>
    <w:p w14:paraId="408E424B" w14:textId="77777777" w:rsidR="009D3E6F" w:rsidRDefault="00000000">
      <w:pPr>
        <w:pBdr>
          <w:bottom w:val="single" w:sz="8" w:space="4" w:color="2E5FA3"/>
        </w:pBdr>
        <w:spacing w:before="320" w:after="80"/>
      </w:pPr>
      <w:r>
        <w:rPr>
          <w:b/>
          <w:bCs/>
          <w:caps/>
          <w:color w:val="1B3A6B"/>
          <w:sz w:val="22"/>
          <w:szCs w:val="22"/>
        </w:rPr>
        <w:t>LEGAL BACKGROUND</w:t>
      </w:r>
    </w:p>
    <w:p w14:paraId="408E424C" w14:textId="77777777" w:rsidR="009D3E6F" w:rsidRDefault="009D3E6F">
      <w:pPr>
        <w:spacing w:after="60"/>
      </w:pPr>
    </w:p>
    <w:p w14:paraId="408E424D" w14:textId="77777777" w:rsidR="009D3E6F" w:rsidRDefault="00000000">
      <w:pPr>
        <w:spacing w:before="60" w:after="60"/>
      </w:pPr>
      <w:r>
        <w:rPr>
          <w:color w:val="222222"/>
        </w:rPr>
        <w:t>Mr. Jay has been a licensed Utah attorney since 2010. His legal training directly strengthens his expert witness work: he understands how courts analyze foreseeability, duty of care, and operator negligence, and he can translate complex operational and industry-standard issues into clear, precise testimony.</w:t>
      </w:r>
    </w:p>
    <w:p w14:paraId="408E424E" w14:textId="77777777" w:rsidR="009D3E6F" w:rsidRDefault="009D3E6F">
      <w:pPr>
        <w:spacing w:after="80"/>
      </w:pPr>
    </w:p>
    <w:p w14:paraId="408E424F" w14:textId="3A04216B" w:rsidR="009D3E6F" w:rsidRDefault="00DF25CB">
      <w:pPr>
        <w:tabs>
          <w:tab w:val="right" w:pos="9360"/>
        </w:tabs>
        <w:spacing w:before="140" w:after="20"/>
      </w:pPr>
      <w:r>
        <w:rPr>
          <w:b/>
          <w:bCs/>
          <w:color w:val="1B3A6B"/>
          <w:sz w:val="22"/>
          <w:szCs w:val="22"/>
        </w:rPr>
        <w:lastRenderedPageBreak/>
        <w:t>Attorney</w:t>
      </w:r>
      <w:r>
        <w:rPr>
          <w:color w:val="555555"/>
          <w:sz w:val="22"/>
          <w:szCs w:val="22"/>
        </w:rPr>
        <w:t xml:space="preserve"> — Utah</w:t>
      </w:r>
      <w:r w:rsidR="00000000">
        <w:rPr>
          <w:i/>
          <w:iCs/>
          <w:color w:val="555555"/>
          <w:sz w:val="22"/>
          <w:szCs w:val="22"/>
        </w:rPr>
        <w:t xml:space="preserve"> State Bar – Active License</w:t>
      </w:r>
      <w:r w:rsidR="00000000">
        <w:rPr>
          <w:sz w:val="22"/>
          <w:szCs w:val="22"/>
        </w:rPr>
        <w:tab/>
      </w:r>
      <w:r w:rsidR="00000000">
        <w:rPr>
          <w:color w:val="555555"/>
          <w:sz w:val="20"/>
          <w:szCs w:val="20"/>
        </w:rPr>
        <w:t>2010 – Present</w:t>
      </w:r>
    </w:p>
    <w:p w14:paraId="408E4250" w14:textId="4BCC2A97" w:rsidR="009D3E6F" w:rsidRDefault="00DF25CB">
      <w:pPr>
        <w:tabs>
          <w:tab w:val="right" w:pos="9360"/>
        </w:tabs>
        <w:spacing w:before="140" w:after="20"/>
      </w:pPr>
      <w:r>
        <w:rPr>
          <w:b/>
          <w:bCs/>
          <w:color w:val="1B3A6B"/>
          <w:sz w:val="22"/>
          <w:szCs w:val="22"/>
        </w:rPr>
        <w:t>Attorney</w:t>
      </w:r>
      <w:r>
        <w:rPr>
          <w:color w:val="555555"/>
          <w:sz w:val="22"/>
          <w:szCs w:val="22"/>
        </w:rPr>
        <w:t xml:space="preserve"> — Utah</w:t>
      </w:r>
      <w:r w:rsidR="00000000">
        <w:rPr>
          <w:i/>
          <w:iCs/>
          <w:color w:val="555555"/>
          <w:sz w:val="22"/>
          <w:szCs w:val="22"/>
        </w:rPr>
        <w:t xml:space="preserve"> Attorney General's Office – Commercial Division</w:t>
      </w:r>
      <w:r w:rsidR="00000000">
        <w:rPr>
          <w:sz w:val="22"/>
          <w:szCs w:val="22"/>
        </w:rPr>
        <w:tab/>
      </w:r>
      <w:r w:rsidR="00000000">
        <w:rPr>
          <w:color w:val="555555"/>
          <w:sz w:val="20"/>
          <w:szCs w:val="20"/>
        </w:rPr>
        <w:t>2010 – 2013</w:t>
      </w:r>
    </w:p>
    <w:p w14:paraId="408E4251" w14:textId="77777777" w:rsidR="009D3E6F" w:rsidRDefault="00000000">
      <w:pPr>
        <w:spacing w:before="60" w:after="60"/>
      </w:pPr>
      <w:r>
        <w:rPr>
          <w:color w:val="222222"/>
        </w:rPr>
        <w:t>Consumer Protection, Antitrust, and Public Licensing matters.</w:t>
      </w:r>
    </w:p>
    <w:p w14:paraId="408E4252" w14:textId="77777777" w:rsidR="009D3E6F" w:rsidRDefault="009D3E6F">
      <w:pPr>
        <w:spacing w:after="40"/>
      </w:pPr>
    </w:p>
    <w:p w14:paraId="408E4253" w14:textId="6B12199A" w:rsidR="009D3E6F" w:rsidRDefault="00000000">
      <w:pPr>
        <w:tabs>
          <w:tab w:val="right" w:pos="9360"/>
        </w:tabs>
        <w:spacing w:before="140" w:after="20"/>
      </w:pPr>
      <w:r>
        <w:rPr>
          <w:b/>
          <w:bCs/>
          <w:color w:val="1B3A6B"/>
          <w:sz w:val="22"/>
          <w:szCs w:val="22"/>
        </w:rPr>
        <w:t xml:space="preserve">General </w:t>
      </w:r>
      <w:r w:rsidR="00DF25CB">
        <w:rPr>
          <w:b/>
          <w:bCs/>
          <w:color w:val="1B3A6B"/>
          <w:sz w:val="22"/>
          <w:szCs w:val="22"/>
        </w:rPr>
        <w:t>Counsel</w:t>
      </w:r>
      <w:r w:rsidR="00DF25CB">
        <w:rPr>
          <w:color w:val="555555"/>
          <w:sz w:val="22"/>
          <w:szCs w:val="22"/>
        </w:rPr>
        <w:t xml:space="preserve"> — </w:t>
      </w:r>
      <w:proofErr w:type="spellStart"/>
      <w:r w:rsidR="00DF25CB">
        <w:rPr>
          <w:color w:val="555555"/>
          <w:sz w:val="22"/>
          <w:szCs w:val="22"/>
        </w:rPr>
        <w:t>digEcor</w:t>
      </w:r>
      <w:proofErr w:type="spellEnd"/>
      <w:r>
        <w:rPr>
          <w:i/>
          <w:iCs/>
          <w:color w:val="555555"/>
          <w:sz w:val="22"/>
          <w:szCs w:val="22"/>
        </w:rPr>
        <w:t xml:space="preserve"> (Regulated Aviation Technology Company)</w:t>
      </w:r>
      <w:r>
        <w:rPr>
          <w:sz w:val="22"/>
          <w:szCs w:val="22"/>
        </w:rPr>
        <w:tab/>
      </w:r>
      <w:r>
        <w:rPr>
          <w:color w:val="555555"/>
          <w:sz w:val="20"/>
          <w:szCs w:val="20"/>
        </w:rPr>
        <w:t>2013 – 2015</w:t>
      </w:r>
    </w:p>
    <w:p w14:paraId="408E4254" w14:textId="77777777" w:rsidR="009D3E6F" w:rsidRDefault="00000000">
      <w:pPr>
        <w:spacing w:before="60" w:after="60"/>
      </w:pPr>
      <w:r>
        <w:rPr>
          <w:color w:val="222222"/>
        </w:rPr>
        <w:t>Served as in-house general counsel for an FAA-regulated aviation technology firm, with responsibility for regulatory interpretation, compliance, and commercial contracting.</w:t>
      </w:r>
    </w:p>
    <w:p w14:paraId="408E4255" w14:textId="77777777" w:rsidR="009D3E6F" w:rsidRDefault="009D3E6F">
      <w:pPr>
        <w:spacing w:after="80"/>
      </w:pPr>
    </w:p>
    <w:p w14:paraId="408E4256" w14:textId="77777777" w:rsidR="009D3E6F" w:rsidRDefault="00000000">
      <w:pPr>
        <w:spacing w:before="60" w:after="60"/>
      </w:pPr>
      <w:r>
        <w:rPr>
          <w:color w:val="222222"/>
        </w:rPr>
        <w:t>Legal expertise applied to expert witness work includes:</w:t>
      </w:r>
    </w:p>
    <w:p w14:paraId="408E4257" w14:textId="77777777" w:rsidR="009D3E6F" w:rsidRDefault="009D3E6F">
      <w:pPr>
        <w:spacing w:after="40"/>
      </w:pPr>
    </w:p>
    <w:p w14:paraId="408E4258" w14:textId="77777777" w:rsidR="009D3E6F" w:rsidRDefault="00000000">
      <w:pPr>
        <w:pStyle w:val="ListParagraph"/>
        <w:numPr>
          <w:ilvl w:val="0"/>
          <w:numId w:val="2"/>
        </w:numPr>
        <w:spacing w:before="40" w:after="40"/>
      </w:pPr>
      <w:r>
        <w:rPr>
          <w:color w:val="222222"/>
        </w:rPr>
        <w:t>Regulatory interpretation and compliance assessment</w:t>
      </w:r>
    </w:p>
    <w:p w14:paraId="408E4259" w14:textId="77777777" w:rsidR="009D3E6F" w:rsidRDefault="00000000">
      <w:pPr>
        <w:pStyle w:val="ListParagraph"/>
        <w:numPr>
          <w:ilvl w:val="0"/>
          <w:numId w:val="2"/>
        </w:numPr>
        <w:spacing w:before="40" w:after="40"/>
      </w:pPr>
      <w:r>
        <w:rPr>
          <w:color w:val="222222"/>
        </w:rPr>
        <w:t>Contractual risk allocation and waiver enforceability review</w:t>
      </w:r>
    </w:p>
    <w:p w14:paraId="408E425A" w14:textId="77777777" w:rsidR="009D3E6F" w:rsidRDefault="00000000">
      <w:pPr>
        <w:pStyle w:val="ListParagraph"/>
        <w:numPr>
          <w:ilvl w:val="0"/>
          <w:numId w:val="2"/>
        </w:numPr>
        <w:spacing w:before="40" w:after="40"/>
      </w:pPr>
      <w:r>
        <w:rPr>
          <w:color w:val="222222"/>
        </w:rPr>
        <w:t>Documentation standards and record-keeping evaluation</w:t>
      </w:r>
    </w:p>
    <w:p w14:paraId="408E425C" w14:textId="17916AD0" w:rsidR="009D3E6F" w:rsidRDefault="00000000" w:rsidP="007A0A70">
      <w:pPr>
        <w:pStyle w:val="ListParagraph"/>
        <w:numPr>
          <w:ilvl w:val="0"/>
          <w:numId w:val="2"/>
        </w:numPr>
        <w:spacing w:before="40" w:after="40"/>
      </w:pPr>
      <w:r>
        <w:rPr>
          <w:color w:val="222222"/>
        </w:rPr>
        <w:t>Standard-of-care analysis as applied in litigation contexts</w:t>
      </w:r>
    </w:p>
    <w:p w14:paraId="408E425D" w14:textId="77777777" w:rsidR="009D3E6F" w:rsidRDefault="00000000">
      <w:pPr>
        <w:pBdr>
          <w:bottom w:val="single" w:sz="8" w:space="4" w:color="2E5FA3"/>
        </w:pBdr>
        <w:spacing w:before="320" w:after="80"/>
      </w:pPr>
      <w:r>
        <w:rPr>
          <w:b/>
          <w:bCs/>
          <w:caps/>
          <w:color w:val="1B3A6B"/>
          <w:sz w:val="22"/>
          <w:szCs w:val="22"/>
        </w:rPr>
        <w:t>EDUCATION</w:t>
      </w:r>
    </w:p>
    <w:p w14:paraId="408E425E" w14:textId="77777777" w:rsidR="009D3E6F" w:rsidRDefault="009D3E6F">
      <w:pPr>
        <w:spacing w:after="60"/>
      </w:pPr>
    </w:p>
    <w:p w14:paraId="408E425F" w14:textId="0D6DFC09" w:rsidR="009D3E6F" w:rsidRDefault="00000000">
      <w:pPr>
        <w:tabs>
          <w:tab w:val="right" w:pos="9360"/>
        </w:tabs>
        <w:spacing w:before="140" w:after="20"/>
      </w:pPr>
      <w:r>
        <w:rPr>
          <w:b/>
          <w:bCs/>
          <w:color w:val="1B3A6B"/>
          <w:sz w:val="22"/>
          <w:szCs w:val="22"/>
        </w:rPr>
        <w:t>Juris Doctor (</w:t>
      </w:r>
      <w:r w:rsidR="00EE0C66">
        <w:rPr>
          <w:b/>
          <w:bCs/>
          <w:color w:val="1B3A6B"/>
          <w:sz w:val="22"/>
          <w:szCs w:val="22"/>
        </w:rPr>
        <w:t>JD)</w:t>
      </w:r>
      <w:r w:rsidR="00EE0C66">
        <w:rPr>
          <w:color w:val="555555"/>
          <w:sz w:val="22"/>
          <w:szCs w:val="22"/>
        </w:rPr>
        <w:t xml:space="preserve"> University</w:t>
      </w:r>
      <w:r>
        <w:rPr>
          <w:i/>
          <w:iCs/>
          <w:color w:val="555555"/>
          <w:sz w:val="22"/>
          <w:szCs w:val="22"/>
        </w:rPr>
        <w:t xml:space="preserve"> of Alabama School of Law</w:t>
      </w:r>
      <w:r>
        <w:rPr>
          <w:sz w:val="22"/>
          <w:szCs w:val="22"/>
        </w:rPr>
        <w:tab/>
      </w:r>
      <w:r>
        <w:rPr>
          <w:color w:val="555555"/>
          <w:sz w:val="20"/>
          <w:szCs w:val="20"/>
        </w:rPr>
        <w:t>2009</w:t>
      </w:r>
    </w:p>
    <w:p w14:paraId="408E4260" w14:textId="6CC7FF97" w:rsidR="009D3E6F" w:rsidRDefault="00000000">
      <w:pPr>
        <w:tabs>
          <w:tab w:val="right" w:pos="9360"/>
        </w:tabs>
        <w:spacing w:before="140" w:after="20"/>
      </w:pPr>
      <w:r>
        <w:rPr>
          <w:b/>
          <w:bCs/>
          <w:color w:val="1B3A6B"/>
          <w:sz w:val="22"/>
          <w:szCs w:val="22"/>
        </w:rPr>
        <w:t>Master of Business Administration (</w:t>
      </w:r>
      <w:r w:rsidR="00EE0C66">
        <w:rPr>
          <w:b/>
          <w:bCs/>
          <w:color w:val="1B3A6B"/>
          <w:sz w:val="22"/>
          <w:szCs w:val="22"/>
        </w:rPr>
        <w:t>MBA)</w:t>
      </w:r>
      <w:r w:rsidR="00EE0C66">
        <w:rPr>
          <w:color w:val="555555"/>
          <w:sz w:val="22"/>
          <w:szCs w:val="22"/>
        </w:rPr>
        <w:t xml:space="preserve"> University</w:t>
      </w:r>
      <w:r>
        <w:rPr>
          <w:i/>
          <w:iCs/>
          <w:color w:val="555555"/>
          <w:sz w:val="22"/>
          <w:szCs w:val="22"/>
        </w:rPr>
        <w:t xml:space="preserve"> of Alabama</w:t>
      </w:r>
      <w:r>
        <w:rPr>
          <w:sz w:val="22"/>
          <w:szCs w:val="22"/>
        </w:rPr>
        <w:tab/>
      </w:r>
      <w:r>
        <w:rPr>
          <w:color w:val="555555"/>
          <w:sz w:val="20"/>
          <w:szCs w:val="20"/>
        </w:rPr>
        <w:t>2009</w:t>
      </w:r>
    </w:p>
    <w:p w14:paraId="408E4261" w14:textId="77777777" w:rsidR="009D3E6F" w:rsidRDefault="00000000">
      <w:pPr>
        <w:spacing w:before="60" w:after="60"/>
      </w:pPr>
      <w:r>
        <w:rPr>
          <w:i/>
          <w:iCs/>
          <w:color w:val="555555"/>
        </w:rPr>
        <w:t>JD and MBA completed concurrently.</w:t>
      </w:r>
    </w:p>
    <w:p w14:paraId="408E4262" w14:textId="77777777" w:rsidR="009D3E6F" w:rsidRDefault="009D3E6F">
      <w:pPr>
        <w:spacing w:after="40"/>
      </w:pPr>
    </w:p>
    <w:p w14:paraId="408E4263" w14:textId="1EEA83B2" w:rsidR="009D3E6F" w:rsidRDefault="00000000">
      <w:pPr>
        <w:tabs>
          <w:tab w:val="right" w:pos="9360"/>
        </w:tabs>
        <w:spacing w:before="140" w:after="20"/>
      </w:pPr>
      <w:r>
        <w:rPr>
          <w:b/>
          <w:bCs/>
          <w:color w:val="1B3A6B"/>
          <w:sz w:val="22"/>
          <w:szCs w:val="22"/>
        </w:rPr>
        <w:t xml:space="preserve">Bachelor of Arts – Political Science &amp; International </w:t>
      </w:r>
      <w:r w:rsidR="00EE0C66">
        <w:rPr>
          <w:b/>
          <w:bCs/>
          <w:color w:val="1B3A6B"/>
          <w:sz w:val="22"/>
          <w:szCs w:val="22"/>
        </w:rPr>
        <w:t>Relations</w:t>
      </w:r>
      <w:r w:rsidR="00EE0C66">
        <w:rPr>
          <w:color w:val="555555"/>
          <w:sz w:val="22"/>
          <w:szCs w:val="22"/>
        </w:rPr>
        <w:t xml:space="preserve"> Brigham</w:t>
      </w:r>
      <w:r>
        <w:rPr>
          <w:i/>
          <w:iCs/>
          <w:color w:val="555555"/>
          <w:sz w:val="22"/>
          <w:szCs w:val="22"/>
        </w:rPr>
        <w:t xml:space="preserve"> Young University</w:t>
      </w:r>
      <w:r>
        <w:rPr>
          <w:sz w:val="22"/>
          <w:szCs w:val="22"/>
        </w:rPr>
        <w:tab/>
      </w:r>
      <w:r w:rsidR="00EE0C66">
        <w:rPr>
          <w:sz w:val="22"/>
          <w:szCs w:val="22"/>
        </w:rPr>
        <w:t xml:space="preserve"> </w:t>
      </w:r>
      <w:r>
        <w:rPr>
          <w:color w:val="555555"/>
          <w:sz w:val="20"/>
          <w:szCs w:val="20"/>
        </w:rPr>
        <w:t>2006</w:t>
      </w:r>
    </w:p>
    <w:p w14:paraId="408E4265" w14:textId="470CCDF0" w:rsidR="009D3E6F" w:rsidRDefault="00000000" w:rsidP="007A0A70">
      <w:pPr>
        <w:spacing w:before="60" w:after="60"/>
      </w:pPr>
      <w:r>
        <w:rPr>
          <w:i/>
          <w:iCs/>
          <w:color w:val="555555"/>
        </w:rPr>
        <w:t>Minors: Business &amp; Russian.</w:t>
      </w:r>
    </w:p>
    <w:p w14:paraId="408E4266" w14:textId="77777777" w:rsidR="009D3E6F" w:rsidRDefault="00000000">
      <w:pPr>
        <w:pBdr>
          <w:bottom w:val="single" w:sz="8" w:space="4" w:color="2E5FA3"/>
        </w:pBdr>
        <w:spacing w:before="320" w:after="80"/>
      </w:pPr>
      <w:r>
        <w:rPr>
          <w:b/>
          <w:bCs/>
          <w:caps/>
          <w:color w:val="1B3A6B"/>
          <w:sz w:val="22"/>
          <w:szCs w:val="22"/>
        </w:rPr>
        <w:t>SPEAKING &amp; INDUSTRY ENGAGEMENT</w:t>
      </w:r>
    </w:p>
    <w:p w14:paraId="408E4267" w14:textId="77777777" w:rsidR="009D3E6F" w:rsidRDefault="009D3E6F">
      <w:pPr>
        <w:spacing w:after="60"/>
      </w:pPr>
    </w:p>
    <w:p w14:paraId="408E4268" w14:textId="77777777" w:rsidR="009D3E6F" w:rsidRDefault="00000000">
      <w:pPr>
        <w:pStyle w:val="ListParagraph"/>
        <w:numPr>
          <w:ilvl w:val="0"/>
          <w:numId w:val="2"/>
        </w:numPr>
        <w:spacing w:before="40" w:after="40"/>
      </w:pPr>
      <w:r>
        <w:rPr>
          <w:color w:val="222222"/>
        </w:rPr>
        <w:t>PRCA Conference presentations on ropes course safety and operations</w:t>
      </w:r>
    </w:p>
    <w:p w14:paraId="408E4269" w14:textId="77777777" w:rsidR="009D3E6F" w:rsidRDefault="00000000">
      <w:pPr>
        <w:pStyle w:val="ListParagraph"/>
        <w:numPr>
          <w:ilvl w:val="0"/>
          <w:numId w:val="2"/>
        </w:numPr>
        <w:spacing w:before="40" w:after="40"/>
      </w:pPr>
      <w:r>
        <w:rPr>
          <w:color w:val="222222"/>
        </w:rPr>
        <w:t>Chamber of Commerce presentations on safety, compliance, and business operations</w:t>
      </w:r>
    </w:p>
    <w:p w14:paraId="408E426A" w14:textId="77777777" w:rsidR="009D3E6F" w:rsidRDefault="00000000">
      <w:pPr>
        <w:pStyle w:val="ListParagraph"/>
        <w:numPr>
          <w:ilvl w:val="0"/>
          <w:numId w:val="2"/>
        </w:numPr>
        <w:spacing w:before="40" w:after="40"/>
      </w:pPr>
      <w:r>
        <w:rPr>
          <w:color w:val="222222"/>
        </w:rPr>
        <w:t>University lectures on regulatory compliance and risk management</w:t>
      </w:r>
    </w:p>
    <w:p w14:paraId="408E426C" w14:textId="18B26986" w:rsidR="009D3E6F" w:rsidRDefault="00000000" w:rsidP="007A0A70">
      <w:pPr>
        <w:pStyle w:val="ListParagraph"/>
        <w:numPr>
          <w:ilvl w:val="0"/>
          <w:numId w:val="2"/>
        </w:numPr>
        <w:spacing w:before="40" w:after="40"/>
      </w:pPr>
      <w:r>
        <w:rPr>
          <w:color w:val="222222"/>
        </w:rPr>
        <w:t>ASTM F24 standards committee participation and commentary</w:t>
      </w:r>
    </w:p>
    <w:p w14:paraId="408E426D" w14:textId="77777777" w:rsidR="009D3E6F" w:rsidRDefault="00000000">
      <w:pPr>
        <w:pBdr>
          <w:bottom w:val="single" w:sz="8" w:space="4" w:color="2E5FA3"/>
        </w:pBdr>
        <w:spacing w:before="320" w:after="80"/>
      </w:pPr>
      <w:r>
        <w:rPr>
          <w:b/>
          <w:bCs/>
          <w:caps/>
          <w:color w:val="1B3A6B"/>
          <w:sz w:val="22"/>
          <w:szCs w:val="22"/>
        </w:rPr>
        <w:t>RETAIN PETER JAY</w:t>
      </w:r>
    </w:p>
    <w:p w14:paraId="408E426E" w14:textId="77777777" w:rsidR="009D3E6F" w:rsidRDefault="009D3E6F">
      <w:pPr>
        <w:spacing w:after="6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500"/>
        <w:gridCol w:w="4860"/>
      </w:tblGrid>
      <w:tr w:rsidR="009D3E6F" w14:paraId="408E427D" w14:textId="77777777">
        <w:tblPrEx>
          <w:tblCellMar>
            <w:top w:w="0" w:type="dxa"/>
            <w:bottom w:w="0" w:type="dxa"/>
          </w:tblCellMar>
        </w:tblPrEx>
        <w:tc>
          <w:tcPr>
            <w:tcW w:w="4500" w:type="dxa"/>
            <w:tcBorders>
              <w:top w:val="single" w:sz="4" w:space="0" w:color="C5D3E8"/>
              <w:left w:val="single" w:sz="4" w:space="0" w:color="C5D3E8"/>
              <w:bottom w:val="single" w:sz="4" w:space="0" w:color="C5D3E8"/>
              <w:right w:val="single" w:sz="4" w:space="0" w:color="C5D3E8"/>
            </w:tcBorders>
            <w:shd w:val="clear" w:color="auto" w:fill="E8EFF8"/>
            <w:tcMar>
              <w:top w:w="160" w:type="dxa"/>
              <w:left w:w="200" w:type="dxa"/>
              <w:bottom w:w="160" w:type="dxa"/>
              <w:right w:w="200" w:type="dxa"/>
            </w:tcMar>
          </w:tcPr>
          <w:p w14:paraId="408E426F" w14:textId="77777777" w:rsidR="009D3E6F" w:rsidRDefault="00000000">
            <w:pPr>
              <w:spacing w:after="60"/>
            </w:pPr>
            <w:r>
              <w:rPr>
                <w:b/>
                <w:bCs/>
                <w:color w:val="1B3A6B"/>
                <w:sz w:val="22"/>
                <w:szCs w:val="22"/>
              </w:rPr>
              <w:t>Engagements</w:t>
            </w:r>
          </w:p>
          <w:p w14:paraId="408E4270" w14:textId="2AE6A194" w:rsidR="009D3E6F" w:rsidRDefault="001C2E22">
            <w:pPr>
              <w:spacing w:before="40" w:after="40"/>
            </w:pPr>
            <w:r>
              <w:rPr>
                <w:rFonts w:ascii="Segoe UI Symbol" w:hAnsi="Segoe UI Symbol" w:cs="Segoe UI Symbol"/>
                <w:color w:val="222222"/>
              </w:rPr>
              <w:t>✔</w:t>
            </w:r>
            <w:r>
              <w:rPr>
                <w:color w:val="222222"/>
              </w:rPr>
              <w:t xml:space="preserve"> Plaintiff</w:t>
            </w:r>
            <w:r w:rsidR="00000000">
              <w:rPr>
                <w:color w:val="222222"/>
              </w:rPr>
              <w:t xml:space="preserve"> representation</w:t>
            </w:r>
          </w:p>
          <w:p w14:paraId="408E4271" w14:textId="6E0637D9" w:rsidR="009D3E6F" w:rsidRDefault="001C2E22">
            <w:pPr>
              <w:spacing w:before="40" w:after="40"/>
            </w:pPr>
            <w:r>
              <w:rPr>
                <w:rFonts w:ascii="Segoe UI Symbol" w:hAnsi="Segoe UI Symbol" w:cs="Segoe UI Symbol"/>
                <w:color w:val="222222"/>
              </w:rPr>
              <w:t>✔</w:t>
            </w:r>
            <w:r>
              <w:rPr>
                <w:color w:val="222222"/>
              </w:rPr>
              <w:t xml:space="preserve"> Defense</w:t>
            </w:r>
            <w:r w:rsidR="00000000">
              <w:rPr>
                <w:color w:val="222222"/>
              </w:rPr>
              <w:t xml:space="preserve"> representation</w:t>
            </w:r>
          </w:p>
          <w:p w14:paraId="408E4272" w14:textId="597E7C3E" w:rsidR="009D3E6F" w:rsidRDefault="001C2E22">
            <w:pPr>
              <w:spacing w:before="40" w:after="40"/>
            </w:pPr>
            <w:r>
              <w:rPr>
                <w:rFonts w:ascii="Segoe UI Symbol" w:hAnsi="Segoe UI Symbol" w:cs="Segoe UI Symbol"/>
                <w:color w:val="222222"/>
              </w:rPr>
              <w:t>✔</w:t>
            </w:r>
            <w:r>
              <w:rPr>
                <w:color w:val="222222"/>
              </w:rPr>
              <w:t xml:space="preserve"> pre-litigation</w:t>
            </w:r>
            <w:r w:rsidR="00000000">
              <w:rPr>
                <w:color w:val="222222"/>
              </w:rPr>
              <w:t xml:space="preserve"> case evaluation</w:t>
            </w:r>
          </w:p>
          <w:p w14:paraId="408E4273" w14:textId="23068FDA" w:rsidR="009D3E6F" w:rsidRDefault="001C2E22">
            <w:pPr>
              <w:spacing w:before="40" w:after="40"/>
            </w:pPr>
            <w:r>
              <w:rPr>
                <w:rFonts w:ascii="Segoe UI Symbol" w:hAnsi="Segoe UI Symbol" w:cs="Segoe UI Symbol"/>
                <w:color w:val="222222"/>
              </w:rPr>
              <w:t>✔</w:t>
            </w:r>
            <w:r>
              <w:rPr>
                <w:color w:val="222222"/>
              </w:rPr>
              <w:t xml:space="preserve"> Expert</w:t>
            </w:r>
            <w:r w:rsidR="00000000">
              <w:rPr>
                <w:color w:val="222222"/>
              </w:rPr>
              <w:t xml:space="preserve"> reports &amp; testimony</w:t>
            </w:r>
          </w:p>
          <w:p w14:paraId="408E4274" w14:textId="1BEF8CEF" w:rsidR="009D3E6F" w:rsidRDefault="001C2E22">
            <w:pPr>
              <w:spacing w:before="40" w:after="40"/>
            </w:pPr>
            <w:r>
              <w:rPr>
                <w:rFonts w:ascii="Segoe UI Symbol" w:hAnsi="Segoe UI Symbol" w:cs="Segoe UI Symbol"/>
                <w:color w:val="222222"/>
              </w:rPr>
              <w:t>✔</w:t>
            </w:r>
            <w:r>
              <w:rPr>
                <w:color w:val="222222"/>
              </w:rPr>
              <w:t xml:space="preserve"> Facility</w:t>
            </w:r>
            <w:r w:rsidR="00000000">
              <w:rPr>
                <w:color w:val="222222"/>
              </w:rPr>
              <w:t xml:space="preserve"> audits &amp; site inspections</w:t>
            </w:r>
          </w:p>
          <w:p w14:paraId="408E4275" w14:textId="4DE1C94A" w:rsidR="009D3E6F" w:rsidRDefault="001C2E22">
            <w:pPr>
              <w:spacing w:before="40" w:after="40"/>
            </w:pPr>
            <w:r>
              <w:rPr>
                <w:rFonts w:ascii="Segoe UI Symbol" w:hAnsi="Segoe UI Symbol" w:cs="Segoe UI Symbol"/>
                <w:color w:val="222222"/>
              </w:rPr>
              <w:t>✔</w:t>
            </w:r>
            <w:r>
              <w:rPr>
                <w:color w:val="222222"/>
              </w:rPr>
              <w:t xml:space="preserve"> Standard</w:t>
            </w:r>
            <w:r w:rsidR="00000000">
              <w:rPr>
                <w:color w:val="222222"/>
              </w:rPr>
              <w:t>-of-care analysis</w:t>
            </w:r>
          </w:p>
          <w:p w14:paraId="408E4276" w14:textId="28CEE1A0" w:rsidR="009D3E6F" w:rsidRDefault="001C2E22">
            <w:pPr>
              <w:spacing w:before="40" w:after="40"/>
            </w:pPr>
            <w:r>
              <w:rPr>
                <w:rFonts w:ascii="Segoe UI Symbol" w:hAnsi="Segoe UI Symbol" w:cs="Segoe UI Symbol"/>
                <w:color w:val="222222"/>
              </w:rPr>
              <w:t>✔</w:t>
            </w:r>
            <w:r>
              <w:rPr>
                <w:color w:val="222222"/>
              </w:rPr>
              <w:t xml:space="preserve"> Discovery</w:t>
            </w:r>
            <w:r w:rsidR="00000000">
              <w:rPr>
                <w:color w:val="222222"/>
              </w:rPr>
              <w:t xml:space="preserve"> support</w:t>
            </w:r>
          </w:p>
        </w:tc>
        <w:tc>
          <w:tcPr>
            <w:tcW w:w="4860" w:type="dxa"/>
            <w:shd w:val="clear" w:color="auto" w:fill="1B3A6B"/>
            <w:tcMar>
              <w:top w:w="160" w:type="dxa"/>
              <w:left w:w="200" w:type="dxa"/>
              <w:bottom w:w="160" w:type="dxa"/>
              <w:right w:w="200" w:type="dxa"/>
            </w:tcMar>
          </w:tcPr>
          <w:p w14:paraId="408E4277" w14:textId="77777777" w:rsidR="009D3E6F" w:rsidRDefault="00000000">
            <w:pPr>
              <w:spacing w:after="60"/>
            </w:pPr>
            <w:r>
              <w:rPr>
                <w:b/>
                <w:bCs/>
                <w:color w:val="FFFFFF"/>
                <w:sz w:val="22"/>
                <w:szCs w:val="22"/>
              </w:rPr>
              <w:t>Contact</w:t>
            </w:r>
          </w:p>
          <w:p w14:paraId="408E4278" w14:textId="77777777" w:rsidR="009D3E6F" w:rsidRDefault="00000000">
            <w:pPr>
              <w:spacing w:before="40" w:after="40"/>
            </w:pPr>
            <w:r>
              <w:rPr>
                <w:b/>
                <w:bCs/>
                <w:color w:val="FFFFFF"/>
              </w:rPr>
              <w:t>Peter Jay, JD, MBA</w:t>
            </w:r>
          </w:p>
          <w:p w14:paraId="408E4279" w14:textId="77777777" w:rsidR="009D3E6F" w:rsidRDefault="00000000">
            <w:pPr>
              <w:spacing w:before="40" w:after="40"/>
            </w:pPr>
            <w:r>
              <w:rPr>
                <w:color w:val="C5D3E8"/>
              </w:rPr>
              <w:t>(801) 372-3969</w:t>
            </w:r>
          </w:p>
          <w:p w14:paraId="408E427A" w14:textId="77777777" w:rsidR="009D3E6F" w:rsidRDefault="00000000">
            <w:pPr>
              <w:spacing w:before="40" w:after="40"/>
            </w:pPr>
            <w:r>
              <w:rPr>
                <w:color w:val="C5D3E8"/>
              </w:rPr>
              <w:t>peterj@mitexperts.com</w:t>
            </w:r>
          </w:p>
          <w:p w14:paraId="408E427B" w14:textId="77777777" w:rsidR="009D3E6F" w:rsidRDefault="00000000">
            <w:pPr>
              <w:spacing w:before="40" w:after="40"/>
            </w:pPr>
            <w:r>
              <w:rPr>
                <w:color w:val="C5D3E8"/>
              </w:rPr>
              <w:t>Cedar Hills, Utah</w:t>
            </w:r>
          </w:p>
          <w:p w14:paraId="408E427C" w14:textId="77777777" w:rsidR="009D3E6F" w:rsidRDefault="00000000">
            <w:pPr>
              <w:spacing w:before="60" w:after="40"/>
            </w:pPr>
            <w:r>
              <w:rPr>
                <w:i/>
                <w:iCs/>
                <w:color w:val="A8C0E8"/>
                <w:sz w:val="20"/>
                <w:szCs w:val="20"/>
              </w:rPr>
              <w:t>Available nationwide</w:t>
            </w:r>
          </w:p>
        </w:tc>
      </w:tr>
    </w:tbl>
    <w:p w14:paraId="408E427E" w14:textId="77777777" w:rsidR="009D3E6F" w:rsidRDefault="009D3E6F" w:rsidP="005607E9">
      <w:pPr>
        <w:spacing w:after="80"/>
      </w:pPr>
    </w:p>
    <w:sectPr w:rsidR="009D3E6F">
      <w:pgSz w:w="12240" w:h="15840"/>
      <w:pgMar w:top="720" w:right="1080" w:bottom="1080" w:left="108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0C5C59"/>
    <w:multiLevelType w:val="hybridMultilevel"/>
    <w:tmpl w:val="18329EE0"/>
    <w:lvl w:ilvl="0" w:tplc="9A820FAE">
      <w:start w:val="1"/>
      <w:numFmt w:val="bullet"/>
      <w:lvlText w:val="•"/>
      <w:lvlJc w:val="left"/>
      <w:pPr>
        <w:ind w:left="480" w:hanging="300"/>
      </w:pPr>
      <w:rPr>
        <w:b/>
        <w:bCs/>
        <w:color w:val="2E5FA3"/>
      </w:rPr>
    </w:lvl>
    <w:lvl w:ilvl="1" w:tplc="0D9C9908">
      <w:numFmt w:val="decimal"/>
      <w:lvlText w:val=""/>
      <w:lvlJc w:val="left"/>
    </w:lvl>
    <w:lvl w:ilvl="2" w:tplc="41B673E0">
      <w:numFmt w:val="decimal"/>
      <w:lvlText w:val=""/>
      <w:lvlJc w:val="left"/>
    </w:lvl>
    <w:lvl w:ilvl="3" w:tplc="B2C48044">
      <w:numFmt w:val="decimal"/>
      <w:lvlText w:val=""/>
      <w:lvlJc w:val="left"/>
    </w:lvl>
    <w:lvl w:ilvl="4" w:tplc="35B0F894">
      <w:numFmt w:val="decimal"/>
      <w:lvlText w:val=""/>
      <w:lvlJc w:val="left"/>
    </w:lvl>
    <w:lvl w:ilvl="5" w:tplc="E416CE90">
      <w:numFmt w:val="decimal"/>
      <w:lvlText w:val=""/>
      <w:lvlJc w:val="left"/>
    </w:lvl>
    <w:lvl w:ilvl="6" w:tplc="26BC4318">
      <w:numFmt w:val="decimal"/>
      <w:lvlText w:val=""/>
      <w:lvlJc w:val="left"/>
    </w:lvl>
    <w:lvl w:ilvl="7" w:tplc="7E68D9DA">
      <w:numFmt w:val="decimal"/>
      <w:lvlText w:val=""/>
      <w:lvlJc w:val="left"/>
    </w:lvl>
    <w:lvl w:ilvl="8" w:tplc="3766D758">
      <w:numFmt w:val="decimal"/>
      <w:lvlText w:val=""/>
      <w:lvlJc w:val="left"/>
    </w:lvl>
  </w:abstractNum>
  <w:abstractNum w:abstractNumId="1" w15:restartNumberingAfterBreak="0">
    <w:nsid w:val="2C7F300B"/>
    <w:multiLevelType w:val="hybridMultilevel"/>
    <w:tmpl w:val="719CF37E"/>
    <w:lvl w:ilvl="0" w:tplc="EF869E7A">
      <w:start w:val="1"/>
      <w:numFmt w:val="bullet"/>
      <w:lvlText w:val="●"/>
      <w:lvlJc w:val="left"/>
      <w:pPr>
        <w:ind w:left="720" w:hanging="360"/>
      </w:pPr>
    </w:lvl>
    <w:lvl w:ilvl="1" w:tplc="50F41804">
      <w:start w:val="1"/>
      <w:numFmt w:val="bullet"/>
      <w:lvlText w:val="○"/>
      <w:lvlJc w:val="left"/>
      <w:pPr>
        <w:ind w:left="1440" w:hanging="360"/>
      </w:pPr>
    </w:lvl>
    <w:lvl w:ilvl="2" w:tplc="9092A7E4">
      <w:start w:val="1"/>
      <w:numFmt w:val="bullet"/>
      <w:lvlText w:val="■"/>
      <w:lvlJc w:val="left"/>
      <w:pPr>
        <w:ind w:left="2160" w:hanging="360"/>
      </w:pPr>
    </w:lvl>
    <w:lvl w:ilvl="3" w:tplc="8742580A">
      <w:start w:val="1"/>
      <w:numFmt w:val="bullet"/>
      <w:lvlText w:val="●"/>
      <w:lvlJc w:val="left"/>
      <w:pPr>
        <w:ind w:left="2880" w:hanging="360"/>
      </w:pPr>
    </w:lvl>
    <w:lvl w:ilvl="4" w:tplc="F31CFCBA">
      <w:start w:val="1"/>
      <w:numFmt w:val="bullet"/>
      <w:lvlText w:val="○"/>
      <w:lvlJc w:val="left"/>
      <w:pPr>
        <w:ind w:left="3600" w:hanging="360"/>
      </w:pPr>
    </w:lvl>
    <w:lvl w:ilvl="5" w:tplc="2A6245FE">
      <w:start w:val="1"/>
      <w:numFmt w:val="bullet"/>
      <w:lvlText w:val="■"/>
      <w:lvlJc w:val="left"/>
      <w:pPr>
        <w:ind w:left="4320" w:hanging="360"/>
      </w:pPr>
    </w:lvl>
    <w:lvl w:ilvl="6" w:tplc="B67AD8FE">
      <w:start w:val="1"/>
      <w:numFmt w:val="bullet"/>
      <w:lvlText w:val="●"/>
      <w:lvlJc w:val="left"/>
      <w:pPr>
        <w:ind w:left="5040" w:hanging="360"/>
      </w:pPr>
    </w:lvl>
    <w:lvl w:ilvl="7" w:tplc="24BC9680">
      <w:start w:val="1"/>
      <w:numFmt w:val="bullet"/>
      <w:lvlText w:val="●"/>
      <w:lvlJc w:val="left"/>
      <w:pPr>
        <w:ind w:left="5760" w:hanging="360"/>
      </w:pPr>
    </w:lvl>
    <w:lvl w:ilvl="8" w:tplc="446A09CE">
      <w:start w:val="1"/>
      <w:numFmt w:val="bullet"/>
      <w:lvlText w:val="●"/>
      <w:lvlJc w:val="left"/>
      <w:pPr>
        <w:ind w:left="6480" w:hanging="360"/>
      </w:pPr>
    </w:lvl>
  </w:abstractNum>
  <w:num w:numId="1" w16cid:durableId="1979021677">
    <w:abstractNumId w:val="1"/>
    <w:lvlOverride w:ilvl="0">
      <w:startOverride w:val="1"/>
    </w:lvlOverride>
  </w:num>
  <w:num w:numId="2" w16cid:durableId="1639413298">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3E6F"/>
    <w:rsid w:val="000D0FAA"/>
    <w:rsid w:val="00103704"/>
    <w:rsid w:val="00152F83"/>
    <w:rsid w:val="001C2E22"/>
    <w:rsid w:val="00377DFB"/>
    <w:rsid w:val="00421D31"/>
    <w:rsid w:val="00523063"/>
    <w:rsid w:val="005607E9"/>
    <w:rsid w:val="0063091A"/>
    <w:rsid w:val="006442C2"/>
    <w:rsid w:val="00657873"/>
    <w:rsid w:val="006747CA"/>
    <w:rsid w:val="007A0A70"/>
    <w:rsid w:val="009D3E6F"/>
    <w:rsid w:val="00D33947"/>
    <w:rsid w:val="00DF25CB"/>
    <w:rsid w:val="00EE0C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8E41CF"/>
  <w15:docId w15:val="{F94D7FCE-9A10-4F5C-83F5-419DC7EAB4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1"/>
        <w:szCs w:val="21"/>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87</TotalTime>
  <Pages>4</Pages>
  <Words>1493</Words>
  <Characters>7048</Characters>
  <Application>Microsoft Office Word</Application>
  <DocSecurity>0</DocSecurity>
  <Lines>234</Lines>
  <Paragraphs>208</Paragraphs>
  <ScaleCrop>false</ScaleCrop>
  <Company/>
  <LinksUpToDate>false</LinksUpToDate>
  <CharactersWithSpaces>8333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Peter Jay</cp:lastModifiedBy>
  <cp:revision>16</cp:revision>
  <dcterms:created xsi:type="dcterms:W3CDTF">2026-04-13T14:40:00Z</dcterms:created>
  <dcterms:modified xsi:type="dcterms:W3CDTF">2026-04-13T20:10:00Z</dcterms:modified>
</cp:coreProperties>
</file>