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46EC" w14:textId="77777777" w:rsidR="00154A08" w:rsidRDefault="00000000">
      <w:pPr>
        <w:spacing w:after="40"/>
      </w:pPr>
      <w:r>
        <w:rPr>
          <w:rFonts w:ascii="Calibri" w:hAnsi="Calibri"/>
          <w:b/>
          <w:sz w:val="26"/>
        </w:rPr>
        <w:t>MARK J. CAMPBELL, PhD, CBSP, CIC, RBP</w:t>
      </w:r>
    </w:p>
    <w:p w14:paraId="12A2A08E" w14:textId="77777777" w:rsidR="00154A08" w:rsidRDefault="00000000">
      <w:pPr>
        <w:spacing w:after="80"/>
      </w:pPr>
      <w:r>
        <w:rPr>
          <w:rFonts w:ascii="Calibri" w:hAnsi="Calibri"/>
          <w:b/>
        </w:rPr>
        <w:t>Biosafety &amp; Laboratory Safety Expert Witness</w:t>
      </w:r>
    </w:p>
    <w:p w14:paraId="03F632BE" w14:textId="2A327461" w:rsidR="00154A08" w:rsidRDefault="00000000">
      <w:pPr>
        <w:spacing w:after="120"/>
      </w:pPr>
      <w:r>
        <w:rPr>
          <w:rFonts w:ascii="Calibri" w:hAnsi="Calibri"/>
          <w:sz w:val="19"/>
        </w:rPr>
        <w:t xml:space="preserve">Imperial, Missouri, USA | Email: </w:t>
      </w:r>
      <w:hyperlink r:id="rId6" w:history="1">
        <w:r w:rsidR="00E429FC" w:rsidRPr="005D69EF">
          <w:rPr>
            <w:rStyle w:val="Hyperlink"/>
            <w:rFonts w:ascii="Calibri" w:hAnsi="Calibri"/>
            <w:sz w:val="19"/>
          </w:rPr>
          <w:t>markj.campbell@outlook.com</w:t>
        </w:r>
      </w:hyperlink>
      <w:r w:rsidR="00E429FC">
        <w:rPr>
          <w:rFonts w:ascii="Calibri" w:hAnsi="Calibri"/>
          <w:sz w:val="19"/>
        </w:rPr>
        <w:t xml:space="preserve"> </w:t>
      </w:r>
      <w:r>
        <w:rPr>
          <w:rFonts w:ascii="Calibri" w:hAnsi="Calibri"/>
          <w:sz w:val="19"/>
        </w:rPr>
        <w:t>| LinkedIn: www.linkedin.com/in/mark-campbell-phd-rbp-cbsp-cic-113345a1</w:t>
      </w:r>
    </w:p>
    <w:p w14:paraId="17055D9F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EXPERT QUALIFICATIONS SUMMARY</w:t>
      </w:r>
    </w:p>
    <w:p w14:paraId="43E551E3" w14:textId="45866E07" w:rsidR="00154A08" w:rsidRDefault="00000000">
      <w:pPr>
        <w:spacing w:after="80"/>
      </w:pPr>
      <w:r>
        <w:rPr>
          <w:rFonts w:ascii="Calibri" w:hAnsi="Calibri"/>
          <w:sz w:val="20"/>
        </w:rPr>
        <w:t xml:space="preserve">Biosafety and laboratory safety expert with over 25 years of experience in microbiology, infection control, and high‑containment laboratory operations. Former Biosafety Officer and Select Agent Responsible Official for a major academic medical center with responsibility for BSL‑3 laboratories, Select Agent compliance, </w:t>
      </w:r>
      <w:r w:rsidR="00035079">
        <w:rPr>
          <w:rFonts w:ascii="Calibri" w:hAnsi="Calibri"/>
          <w:sz w:val="20"/>
        </w:rPr>
        <w:t xml:space="preserve">healthcare safety/infections control, </w:t>
      </w:r>
      <w:r>
        <w:rPr>
          <w:rFonts w:ascii="Calibri" w:hAnsi="Calibri"/>
          <w:sz w:val="20"/>
        </w:rPr>
        <w:t>and occupational exposure prevention. Provides expert consultation, opinions, and testimony regarding laboratory biosafety failures, regulatory compliance, and</w:t>
      </w:r>
      <w:r w:rsidR="00035079">
        <w:rPr>
          <w:rFonts w:ascii="Calibri" w:hAnsi="Calibri"/>
          <w:sz w:val="20"/>
        </w:rPr>
        <w:t xml:space="preserve"> clinical environmental</w:t>
      </w:r>
      <w:r>
        <w:rPr>
          <w:rFonts w:ascii="Calibri" w:hAnsi="Calibri"/>
          <w:sz w:val="20"/>
        </w:rPr>
        <w:t xml:space="preserve"> standards of </w:t>
      </w:r>
      <w:r w:rsidR="00035079">
        <w:rPr>
          <w:rFonts w:ascii="Calibri" w:hAnsi="Calibri"/>
          <w:sz w:val="20"/>
        </w:rPr>
        <w:t>care</w:t>
      </w:r>
      <w:r>
        <w:rPr>
          <w:rFonts w:ascii="Calibri" w:hAnsi="Calibri"/>
          <w:sz w:val="20"/>
        </w:rPr>
        <w:t>.</w:t>
      </w:r>
    </w:p>
    <w:p w14:paraId="4F8342FC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AREAS OF EXPERT TESTIMONY</w:t>
      </w:r>
    </w:p>
    <w:p w14:paraId="79ADAF5C" w14:textId="565F4490" w:rsidR="00154A08" w:rsidRDefault="00000000">
      <w:pPr>
        <w:spacing w:after="80"/>
      </w:pPr>
      <w:r>
        <w:rPr>
          <w:rFonts w:ascii="Calibri" w:hAnsi="Calibri"/>
          <w:sz w:val="20"/>
        </w:rPr>
        <w:t xml:space="preserve">Laboratory biosafety program failures; BSL‑2 and BSL‑3 </w:t>
      </w:r>
      <w:r w:rsidR="00035079">
        <w:rPr>
          <w:rFonts w:ascii="Calibri" w:hAnsi="Calibri"/>
          <w:sz w:val="20"/>
        </w:rPr>
        <w:t xml:space="preserve">engineering controls and </w:t>
      </w:r>
      <w:r>
        <w:rPr>
          <w:rFonts w:ascii="Calibri" w:hAnsi="Calibri"/>
          <w:sz w:val="20"/>
        </w:rPr>
        <w:t>containment practices; laboratory‑acquired infections; occupational exposure to biological agents; Select Agent regulatory compliance; biosafety risk assessment; clinical trial biosafety and investigational product handling; Institutional Biosafety Committee (IBC) oversight; infection control in biomedical research and healthcare environments.</w:t>
      </w:r>
    </w:p>
    <w:p w14:paraId="172D5941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EDUCATION &amp; PROFESSIONAL CREDENTIALS</w:t>
      </w:r>
    </w:p>
    <w:p w14:paraId="41C5DDC4" w14:textId="77777777" w:rsidR="00154A08" w:rsidRDefault="00000000">
      <w:pPr>
        <w:spacing w:after="80"/>
      </w:pPr>
      <w:r>
        <w:rPr>
          <w:rFonts w:ascii="Calibri" w:hAnsi="Calibri"/>
          <w:sz w:val="20"/>
        </w:rPr>
        <w:t>PhD, Environmental &amp; Occupational Health – Saint Louis University</w:t>
      </w:r>
    </w:p>
    <w:p w14:paraId="5ED98929" w14:textId="77777777" w:rsidR="00154A08" w:rsidRDefault="00000000">
      <w:pPr>
        <w:spacing w:after="80"/>
      </w:pPr>
      <w:r>
        <w:rPr>
          <w:rFonts w:ascii="Calibri" w:hAnsi="Calibri"/>
          <w:sz w:val="20"/>
        </w:rPr>
        <w:t>MS, Microbiology – Southeast Missouri State University</w:t>
      </w:r>
    </w:p>
    <w:p w14:paraId="5A6FC561" w14:textId="77777777" w:rsidR="00154A08" w:rsidRDefault="00000000">
      <w:pPr>
        <w:spacing w:after="80"/>
      </w:pPr>
      <w:r>
        <w:rPr>
          <w:rFonts w:ascii="Calibri" w:hAnsi="Calibri"/>
          <w:sz w:val="20"/>
        </w:rPr>
        <w:t>BS, Biology – Southeast Missouri State University</w:t>
      </w:r>
    </w:p>
    <w:p w14:paraId="7D0F0393" w14:textId="4F0BA778" w:rsidR="00707EEF" w:rsidRPr="00707EEF" w:rsidRDefault="00707EEF" w:rsidP="00707EEF">
      <w:pPr>
        <w:spacing w:after="80"/>
        <w:rPr>
          <w:rFonts w:ascii="Calibri" w:hAnsi="Calibri"/>
          <w:b/>
          <w:sz w:val="20"/>
        </w:rPr>
      </w:pPr>
      <w:r w:rsidRPr="00707EEF">
        <w:rPr>
          <w:rFonts w:ascii="Calibri" w:hAnsi="Calibri"/>
          <w:b/>
          <w:sz w:val="20"/>
        </w:rPr>
        <w:t xml:space="preserve">CBSP | RBP | CIC   </w:t>
      </w:r>
    </w:p>
    <w:p w14:paraId="69F773E7" w14:textId="44092580" w:rsidR="00707EEF" w:rsidRDefault="00707EEF" w:rsidP="00707EEF">
      <w:pPr>
        <w:spacing w:after="80"/>
      </w:pPr>
      <w:r w:rsidRPr="00707EEF">
        <w:rPr>
          <w:rFonts w:ascii="Calibri" w:hAnsi="Calibri"/>
          <w:b/>
          <w:sz w:val="20"/>
        </w:rPr>
        <w:t>CIH (Application Approved, April 2026 – Exam Planned Fall 2026)</w:t>
      </w:r>
    </w:p>
    <w:p w14:paraId="0A682115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PROFESSIONAL EXPERIENCE</w:t>
      </w:r>
    </w:p>
    <w:p w14:paraId="57C9D2BB" w14:textId="77777777" w:rsidR="00154A08" w:rsidRDefault="00000000">
      <w:pPr>
        <w:spacing w:after="80"/>
      </w:pPr>
      <w:r>
        <w:rPr>
          <w:rFonts w:ascii="Calibri" w:hAnsi="Calibri"/>
          <w:sz w:val="20"/>
        </w:rPr>
        <w:t>Clinical Biosafety Consultant, Independent Practice (2001–Present)</w:t>
      </w:r>
    </w:p>
    <w:p w14:paraId="74A6414C" w14:textId="77777777" w:rsidR="00154A08" w:rsidRDefault="00000000">
      <w:pPr>
        <w:spacing w:after="80"/>
      </w:pPr>
      <w:r>
        <w:rPr>
          <w:rFonts w:ascii="Calibri" w:hAnsi="Calibri"/>
          <w:sz w:val="20"/>
        </w:rPr>
        <w:t>Biosafety Officer &amp; Select Agent Responsible Official, Saint Louis University (2001–2022)</w:t>
      </w:r>
    </w:p>
    <w:p w14:paraId="2923F9FF" w14:textId="77777777" w:rsidR="00154A08" w:rsidRDefault="00000000">
      <w:pPr>
        <w:spacing w:after="80"/>
      </w:pPr>
      <w:r>
        <w:rPr>
          <w:rFonts w:ascii="Calibri" w:hAnsi="Calibri"/>
          <w:sz w:val="20"/>
        </w:rPr>
        <w:t>Adjunct Assistant Professor, Molecular Microbiology &amp; Immunology, Saint Louis University School of Medicine (2005–2022)</w:t>
      </w:r>
    </w:p>
    <w:p w14:paraId="643A6900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HIGH‑CONTAINMENT &amp; PATHOGEN EXPERIENCE</w:t>
      </w:r>
    </w:p>
    <w:p w14:paraId="2FDB1C23" w14:textId="4D067C55" w:rsidR="00154A08" w:rsidRDefault="00000000">
      <w:pPr>
        <w:spacing w:after="80"/>
      </w:pPr>
      <w:r>
        <w:rPr>
          <w:rFonts w:ascii="Calibri" w:hAnsi="Calibri"/>
          <w:sz w:val="20"/>
        </w:rPr>
        <w:t>BSL‑1, BSL‑2, and BSL‑3 laboratories; Influenza viruses; Coronaviruses including SARS‑CoV‑2; Alphaviruses (EEE, WEE, VEE); Mycobacterium tuberculosis; Bacillus anthracis; Francisella tularensis; High Pathogenic Avian Influenza (H5N1)</w:t>
      </w:r>
      <w:r w:rsidR="00E429FC">
        <w:rPr>
          <w:rFonts w:ascii="Calibri" w:hAnsi="Calibri"/>
          <w:sz w:val="20"/>
        </w:rPr>
        <w:t>, bloodborne pathogens, and other pathogens and toxins</w:t>
      </w:r>
      <w:r>
        <w:rPr>
          <w:rFonts w:ascii="Calibri" w:hAnsi="Calibri"/>
          <w:sz w:val="20"/>
        </w:rPr>
        <w:t>.</w:t>
      </w:r>
    </w:p>
    <w:p w14:paraId="03D33D37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REGULATORY &amp; STANDARDS EXPERTISE</w:t>
      </w:r>
    </w:p>
    <w:p w14:paraId="59E019EE" w14:textId="3F34FA31" w:rsidR="00154A08" w:rsidRDefault="00000000">
      <w:pPr>
        <w:spacing w:after="80"/>
      </w:pPr>
      <w:r>
        <w:rPr>
          <w:rFonts w:ascii="Calibri" w:hAnsi="Calibri"/>
          <w:sz w:val="20"/>
        </w:rPr>
        <w:t xml:space="preserve">NIH </w:t>
      </w:r>
      <w:r w:rsidR="00707EEF">
        <w:rPr>
          <w:rFonts w:ascii="Calibri" w:hAnsi="Calibri"/>
          <w:sz w:val="20"/>
        </w:rPr>
        <w:t>Guidelines</w:t>
      </w:r>
      <w:r w:rsidR="00E429FC">
        <w:rPr>
          <w:rFonts w:ascii="Calibri" w:hAnsi="Calibri"/>
          <w:sz w:val="20"/>
        </w:rPr>
        <w:t xml:space="preserve">; </w:t>
      </w:r>
      <w:r>
        <w:rPr>
          <w:rFonts w:ascii="Calibri" w:hAnsi="Calibri"/>
          <w:sz w:val="20"/>
        </w:rPr>
        <w:t>CDC Select Agent Program; OSHA Bloodborne Pathogens Standard; USDA; FDA; DOT / IATA infectious substance shipping regulations.</w:t>
      </w:r>
    </w:p>
    <w:p w14:paraId="054FAD16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PUBLICATIONS (SELECTED)</w:t>
      </w:r>
    </w:p>
    <w:p w14:paraId="5CAFCE80" w14:textId="77777777" w:rsidR="00154A08" w:rsidRDefault="00000000">
      <w:pPr>
        <w:spacing w:after="80"/>
      </w:pPr>
      <w:r>
        <w:rPr>
          <w:rFonts w:ascii="Calibri" w:hAnsi="Calibri"/>
          <w:sz w:val="19"/>
        </w:rPr>
        <w:t>Campbell MJ (2015). Characterizing accidents, exposures, and laboratory‑acquired infections reported to NIH. Journal of Applied Biosafety.</w:t>
      </w:r>
    </w:p>
    <w:p w14:paraId="5F91F677" w14:textId="77777777" w:rsidR="00154A08" w:rsidRDefault="00000000">
      <w:pPr>
        <w:spacing w:after="80"/>
      </w:pPr>
      <w:r>
        <w:rPr>
          <w:rFonts w:ascii="Calibri" w:hAnsi="Calibri"/>
          <w:sz w:val="19"/>
        </w:rPr>
        <w:t>Lewis N., Campbell MJ., Baskin CR. (2015). Information security for compliance with Select Agent regulations. Health Security.</w:t>
      </w:r>
    </w:p>
    <w:p w14:paraId="7DA917A2" w14:textId="77777777" w:rsidR="00154A08" w:rsidRDefault="00000000">
      <w:pPr>
        <w:spacing w:before="120" w:after="60"/>
      </w:pPr>
      <w:r>
        <w:rPr>
          <w:rFonts w:ascii="Calibri" w:hAnsi="Calibri"/>
          <w:b/>
          <w:sz w:val="21"/>
        </w:rPr>
        <w:t>EXPERT WITNESS SERVICES</w:t>
      </w:r>
    </w:p>
    <w:p w14:paraId="5AFC8AFA" w14:textId="77777777" w:rsidR="00154A08" w:rsidRDefault="00000000">
      <w:pPr>
        <w:spacing w:after="80"/>
      </w:pPr>
      <w:r>
        <w:rPr>
          <w:rFonts w:ascii="Calibri" w:hAnsi="Calibri"/>
          <w:sz w:val="20"/>
        </w:rPr>
        <w:t>Case review and technical consultation; expert reports; depositions; trial testimony; standard‑of‑care analysis. Available nationwide.</w:t>
      </w:r>
    </w:p>
    <w:sectPr w:rsidR="00154A08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261498">
    <w:abstractNumId w:val="8"/>
  </w:num>
  <w:num w:numId="2" w16cid:durableId="481698391">
    <w:abstractNumId w:val="6"/>
  </w:num>
  <w:num w:numId="3" w16cid:durableId="192886502">
    <w:abstractNumId w:val="5"/>
  </w:num>
  <w:num w:numId="4" w16cid:durableId="1669865173">
    <w:abstractNumId w:val="4"/>
  </w:num>
  <w:num w:numId="5" w16cid:durableId="98332987">
    <w:abstractNumId w:val="7"/>
  </w:num>
  <w:num w:numId="6" w16cid:durableId="540825330">
    <w:abstractNumId w:val="3"/>
  </w:num>
  <w:num w:numId="7" w16cid:durableId="1667050278">
    <w:abstractNumId w:val="2"/>
  </w:num>
  <w:num w:numId="8" w16cid:durableId="1023022484">
    <w:abstractNumId w:val="1"/>
  </w:num>
  <w:num w:numId="9" w16cid:durableId="12454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079"/>
    <w:rsid w:val="0006063C"/>
    <w:rsid w:val="0015074B"/>
    <w:rsid w:val="00154A08"/>
    <w:rsid w:val="0029639D"/>
    <w:rsid w:val="00326F90"/>
    <w:rsid w:val="00707EEF"/>
    <w:rsid w:val="00981BBA"/>
    <w:rsid w:val="009A4885"/>
    <w:rsid w:val="00AA1D8D"/>
    <w:rsid w:val="00B47730"/>
    <w:rsid w:val="00CB0664"/>
    <w:rsid w:val="00CC3305"/>
    <w:rsid w:val="00E04D53"/>
    <w:rsid w:val="00E429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170AE"/>
  <w14:defaultImageDpi w14:val="300"/>
  <w15:docId w15:val="{3A090446-2038-4231-A06A-BB1F205F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42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j.campbel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Campbell, PhD, RBP, CBSP, CIC</cp:lastModifiedBy>
  <cp:revision>5</cp:revision>
  <dcterms:created xsi:type="dcterms:W3CDTF">2013-12-23T23:15:00Z</dcterms:created>
  <dcterms:modified xsi:type="dcterms:W3CDTF">2026-04-10T00:25:00Z</dcterms:modified>
  <cp:category/>
</cp:coreProperties>
</file>