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jc w:val="center"/>
      </w:pPr>
      <w:r>
        <w:rPr>
          <w:rFonts w:ascii="Arial" w:cs="Arial" w:eastAsia="Arial" w:hAnsi="Arial"/>
          <w:b/>
          <w:bCs/>
          <w:color w:val="1A1A1A"/>
          <w:sz w:val="32"/>
          <w:szCs w:val="32"/>
        </w:rPr>
        <w:t xml:space="preserve">BERNADETTE A. GRATTON</w:t>
      </w:r>
    </w:p>
    <w:p>
      <w:pPr>
        <w:spacing w:after="60"/>
        <w:jc w:val="center"/>
      </w:pPr>
      <w:r>
        <w:rPr>
          <w:rFonts w:ascii="Arial" w:cs="Arial" w:eastAsia="Arial" w:hAnsi="Arial"/>
          <w:b/>
          <w:bCs/>
          <w:color w:val="1F5C99"/>
          <w:sz w:val="20"/>
          <w:szCs w:val="20"/>
        </w:rPr>
        <w:t xml:space="preserve">IT Expert Witness  |  ERP Implementation &amp; Service Recovery  |  Enterprise Technology Strategy</w:t>
      </w:r>
    </w:p>
    <w:p>
      <w:pPr>
        <w:spacing w:after="40"/>
        <w:jc w:val="center"/>
      </w:pPr>
      <w:r>
        <w:rPr>
          <w:rFonts w:ascii="Arial" w:cs="Arial" w:eastAsia="Arial" w:hAnsi="Arial"/>
          <w:color w:val="444444"/>
          <w:sz w:val="18"/>
          <w:szCs w:val="18"/>
        </w:rPr>
        <w:t xml:space="preserve">910.742.6108  ·  bernadette.a.gratton@gmail.com  ·  Dallas, TX  ·  </w:t>
      </w:r>
      <w:hyperlink w:history="1" r:id="rIdmkctum14xpdprg1q-vdrd">
        <w:r>
          <w:rPr>
            <w:rFonts w:ascii="Arial" w:cs="Arial" w:eastAsia="Arial" w:hAnsi="Arial"/>
            <w:color w:val="1F5C99"/>
            <w:sz w:val="18"/>
            <w:szCs w:val="18"/>
            <w:u w:val="single"/>
          </w:rPr>
          <w:t xml:space="preserve">linkedin.com/in/bernadettegratton</w:t>
        </w:r>
      </w:hyperlink>
    </w:p>
    <w:p>
      <w:pPr>
        <w:spacing w:after="60"/>
        <w:jc w:val="center"/>
      </w:pPr>
      <w:r>
        <w:rPr>
          <w:rFonts w:ascii="Arial" w:cs="Arial" w:eastAsia="Arial" w:hAnsi="Arial"/>
          <w:color w:val="444444"/>
          <w:sz w:val="18"/>
          <w:szCs w:val="18"/>
        </w:rPr>
        <w:t xml:space="preserve">SEAK Expert Witness Profile: </w:t>
      </w:r>
      <w:hyperlink w:history="1" r:id="rIdlbjdi6hzesozecx8yk_ke">
        <w:r>
          <w:rPr>
            <w:rFonts w:ascii="Arial" w:cs="Arial" w:eastAsia="Arial" w:hAnsi="Arial"/>
            <w:color w:val="1F5C99"/>
            <w:sz w:val="18"/>
            <w:szCs w:val="18"/>
            <w:u w:val="single"/>
          </w:rPr>
          <w:t xml:space="preserve">seakexperts.com/members/21747-bernadette-a-gratton</w:t>
        </w:r>
      </w:hyperlink>
    </w:p>
    <w:p>
      <w:pPr>
        <w:pBdr>
          <w:bottom w:val="single" w:color="1F5C99" w:sz="8" w:space="1"/>
        </w:pBdr>
        <w:spacing w:after="160"/>
      </w:pPr>
    </w:p>
    <w:p>
      <w:pPr>
        <w:pBdr>
          <w:bottom w:val="single" w:color="1F5C99" w:sz="4" w:space="2"/>
        </w:pBdr>
        <w:spacing w:before="200" w:after="80"/>
      </w:pPr>
      <w:r>
        <w:rPr>
          <w:rFonts w:ascii="Arial" w:cs="Arial" w:eastAsia="Arial" w:hAnsi="Arial"/>
          <w:b/>
          <w:bCs/>
          <w:color w:val="1F5C99"/>
          <w:sz w:val="22"/>
          <w:szCs w:val="22"/>
        </w:rPr>
        <w:t xml:space="preserve">EXPERT WITNESS PROFILE</w:t>
      </w:r>
    </w:p>
    <w:p>
      <w:pPr>
        <w:spacing w:after="80"/>
      </w:pPr>
      <w:r>
        <w:rPr>
          <w:rFonts w:ascii="Arial" w:cs="Arial" w:eastAsia="Arial" w:hAnsi="Arial"/>
          <w:b w:val="false"/>
          <w:bCs w:val="false"/>
          <w:i w:val="false"/>
          <w:iCs w:val="false"/>
          <w:color w:val="1A1A1A"/>
          <w:sz w:val="20"/>
          <w:szCs w:val="20"/>
        </w:rPr>
        <w:t xml:space="preserve">Independent IT expert witness specializing in ERP implementation disputes, technology service recovery, and failed implementation analysis. Retained by legal counsel to evaluate technical claims, assess industry standards of care, and provide expert opinion on complex enterprise technology matters. Brings firsthand experience recovering failed ERP implementations — including cessation of active client legal actions — across large-scale, multi-stakeholder environments.</w:t>
      </w:r>
    </w:p>
    <w:p>
      <w:pPr>
        <w:spacing w:after="80"/>
      </w:pPr>
      <w:r>
        <w:rPr>
          <w:rFonts w:ascii="Arial" w:cs="Arial" w:eastAsia="Arial" w:hAnsi="Arial"/>
          <w:b w:val="false"/>
          <w:bCs w:val="false"/>
          <w:i w:val="false"/>
          <w:iCs w:val="false"/>
          <w:color w:val="1A1A1A"/>
          <w:sz w:val="20"/>
          <w:szCs w:val="20"/>
        </w:rPr>
        <w:t xml:space="preserve">Technical foundation spans the full ERP implementation lifecycle: project management and governance, technical architecture, data migration, system integration, application delivery, and post-implementation support. Deep platform expertise in Ellucian Banner (18 years), Oracle RDBMS, and integrated enterprise ecosystems. Experience base includes 41-school multi-campus deployments, Ivy League institutional recoveries, multi-region implementations with language localization, and post-merger technology integrations.</w:t>
      </w:r>
    </w:p>
    <w:p>
      <w:pPr>
        <w:spacing w:after="80"/>
      </w:pPr>
      <w:r>
        <w:rPr>
          <w:rFonts w:ascii="Arial" w:cs="Arial" w:eastAsia="Arial" w:hAnsi="Arial"/>
          <w:b w:val="false"/>
          <w:bCs w:val="false"/>
          <w:i w:val="false"/>
          <w:iCs w:val="false"/>
          <w:color w:val="1A1A1A"/>
          <w:sz w:val="20"/>
          <w:szCs w:val="20"/>
        </w:rPr>
        <w:t xml:space="preserve">Areas of expert witness engagement include: ERP implementation failure and recovery, technology service delivery disputes, IT governance and controls deficiencies, data migration errors, vendor performance and contract disputes, and standard of care assessments for enterprise technology projects.</w:t>
      </w:r>
    </w:p>
    <w:p>
      <w:pPr>
        <w:pBdr>
          <w:bottom w:val="single" w:color="1F5C99" w:sz="4" w:space="2"/>
        </w:pBdr>
        <w:spacing w:before="200" w:after="80"/>
      </w:pPr>
      <w:r>
        <w:rPr>
          <w:rFonts w:ascii="Arial" w:cs="Arial" w:eastAsia="Arial" w:hAnsi="Arial"/>
          <w:b/>
          <w:bCs/>
          <w:color w:val="1F5C99"/>
          <w:sz w:val="22"/>
          <w:szCs w:val="22"/>
        </w:rPr>
        <w:t xml:space="preserve">PROFESSIONAL SUMMARY</w:t>
      </w:r>
    </w:p>
    <w:p>
      <w:pPr>
        <w:spacing w:after="80"/>
      </w:pPr>
      <w:r>
        <w:rPr>
          <w:rFonts w:ascii="Arial" w:cs="Arial" w:eastAsia="Arial" w:hAnsi="Arial"/>
          <w:b w:val="false"/>
          <w:bCs w:val="false"/>
          <w:i w:val="false"/>
          <w:iCs w:val="false"/>
          <w:color w:val="1A1A1A"/>
          <w:sz w:val="20"/>
          <w:szCs w:val="20"/>
        </w:rPr>
        <w:t xml:space="preserve">Technology executive, fractional CIO, and trusted strategic advisor with deep experience leading complex ERP implementations, enterprise transformations, and technology organizations across higher education, PE-backed services companies, and mid-market environments. Known for stepping into broken, ambiguous, or high-stakes situations and restoring order — stabilizing systems, rebuilding teams, recovering client relationships, and delivering measurable operational and financial results.</w:t>
      </w:r>
    </w:p>
    <w:p>
      <w:pPr>
        <w:spacing w:after="80"/>
      </w:pPr>
      <w:r>
        <w:rPr>
          <w:rFonts w:ascii="Arial" w:cs="Arial" w:eastAsia="Arial" w:hAnsi="Arial"/>
          <w:b w:val="false"/>
          <w:bCs w:val="false"/>
          <w:i w:val="false"/>
          <w:iCs w:val="false"/>
          <w:color w:val="1A1A1A"/>
          <w:sz w:val="20"/>
          <w:szCs w:val="20"/>
        </w:rPr>
        <w:t xml:space="preserve">Career spans the full spectrum of technology leadership: hands-on technical depth as a Senior Principal Technical Consultant at Ellucian (the dominant Higher Education ERP platform), executive delivery leadership as SVP at a PE-backed B2B technology services company, and strategic advisory work as Fractional CIO and founder of Gratton Advisory. Prosci® Certified Change Practitioner. MIT-credentialed in AI Strategy and Medical Technology Innovation. Executive MBA, SMU.</w:t>
      </w:r>
    </w:p>
    <w:p>
      <w:pPr>
        <w:pBdr>
          <w:bottom w:val="single" w:color="1F5C99" w:sz="4" w:space="2"/>
        </w:pBdr>
        <w:spacing w:before="200" w:after="80"/>
      </w:pPr>
      <w:r>
        <w:rPr>
          <w:rFonts w:ascii="Arial" w:cs="Arial" w:eastAsia="Arial" w:hAnsi="Arial"/>
          <w:b/>
          <w:bCs/>
          <w:color w:val="1F5C99"/>
          <w:sz w:val="22"/>
          <w:szCs w:val="22"/>
        </w:rPr>
        <w:t xml:space="preserve">AREAS OF EXPERTISE</w:t>
      </w:r>
    </w:p>
    <w:p>
      <w:pPr>
        <w:tabs>
          <w:tab w:val="left" w:pos="4860"/>
        </w:tabs>
        <w:spacing w:after="60"/>
      </w:pPr>
      <w:r>
        <w:rPr>
          <w:rFonts w:ascii="Arial" w:cs="Arial" w:eastAsia="Arial" w:hAnsi="Arial"/>
          <w:color w:val="1A1A1A"/>
          <w:sz w:val="19"/>
          <w:szCs w:val="19"/>
        </w:rPr>
        <w:t xml:space="preserve">•  ERP Implementation &amp; Service Recovery</w:t>
      </w:r>
      <w:r>
        <w:rPr>
          <w:rFonts w:ascii="Arial" w:cs="Arial" w:eastAsia="Arial" w:hAnsi="Arial"/>
          <w:color w:val="1A1A1A"/>
          <w:sz w:val="19"/>
          <w:szCs w:val="19"/>
        </w:rPr>
        <w:t xml:space="preserve">	•  IT Governance &amp; Controls Assessment</w:t>
      </w:r>
    </w:p>
    <w:p>
      <w:pPr>
        <w:tabs>
          <w:tab w:val="left" w:pos="4860"/>
        </w:tabs>
        <w:spacing w:after="60"/>
      </w:pPr>
      <w:r>
        <w:rPr>
          <w:rFonts w:ascii="Arial" w:cs="Arial" w:eastAsia="Arial" w:hAnsi="Arial"/>
          <w:color w:val="1A1A1A"/>
          <w:sz w:val="19"/>
          <w:szCs w:val="19"/>
        </w:rPr>
        <w:t xml:space="preserve">•  Failed Implementation Analysis &amp; Recovery</w:t>
      </w:r>
      <w:r>
        <w:rPr>
          <w:rFonts w:ascii="Arial" w:cs="Arial" w:eastAsia="Arial" w:hAnsi="Arial"/>
          <w:color w:val="1A1A1A"/>
          <w:sz w:val="19"/>
          <w:szCs w:val="19"/>
        </w:rPr>
        <w:t xml:space="preserve">	•  Data Migration &amp; Integration Architecture</w:t>
      </w:r>
    </w:p>
    <w:p>
      <w:pPr>
        <w:tabs>
          <w:tab w:val="left" w:pos="4860"/>
        </w:tabs>
        <w:spacing w:after="60"/>
      </w:pPr>
      <w:r>
        <w:rPr>
          <w:rFonts w:ascii="Arial" w:cs="Arial" w:eastAsia="Arial" w:hAnsi="Arial"/>
          <w:color w:val="1A1A1A"/>
          <w:sz w:val="19"/>
          <w:szCs w:val="19"/>
        </w:rPr>
        <w:t xml:space="preserve">•  Technology Standard of Care Assessment</w:t>
      </w:r>
      <w:r>
        <w:rPr>
          <w:rFonts w:ascii="Arial" w:cs="Arial" w:eastAsia="Arial" w:hAnsi="Arial"/>
          <w:color w:val="1A1A1A"/>
          <w:sz w:val="19"/>
          <w:szCs w:val="19"/>
        </w:rPr>
        <w:t xml:space="preserve">	•  Vendor Performance &amp; Contract Disputes</w:t>
      </w:r>
    </w:p>
    <w:p>
      <w:pPr>
        <w:tabs>
          <w:tab w:val="left" w:pos="4860"/>
        </w:tabs>
        <w:spacing w:after="60"/>
      </w:pPr>
      <w:r>
        <w:rPr>
          <w:rFonts w:ascii="Arial" w:cs="Arial" w:eastAsia="Arial" w:hAnsi="Arial"/>
          <w:color w:val="1A1A1A"/>
          <w:sz w:val="19"/>
          <w:szCs w:val="19"/>
        </w:rPr>
        <w:t xml:space="preserve">•  IT Strategy &amp; Technology Roadmapping</w:t>
      </w:r>
      <w:r>
        <w:rPr>
          <w:rFonts w:ascii="Arial" w:cs="Arial" w:eastAsia="Arial" w:hAnsi="Arial"/>
          <w:color w:val="1A1A1A"/>
          <w:sz w:val="19"/>
          <w:szCs w:val="19"/>
        </w:rPr>
        <w:t xml:space="preserve">	•  Post-Merger Integration &amp; Technology Consolidation</w:t>
      </w:r>
    </w:p>
    <w:p>
      <w:pPr>
        <w:tabs>
          <w:tab w:val="left" w:pos="4860"/>
        </w:tabs>
        <w:spacing w:after="60"/>
      </w:pPr>
      <w:r>
        <w:rPr>
          <w:rFonts w:ascii="Arial" w:cs="Arial" w:eastAsia="Arial" w:hAnsi="Arial"/>
          <w:color w:val="1A1A1A"/>
          <w:sz w:val="19"/>
          <w:szCs w:val="19"/>
        </w:rPr>
        <w:t xml:space="preserve">•  Cybersecurity Governance &amp; Risk Management</w:t>
      </w:r>
      <w:r>
        <w:rPr>
          <w:rFonts w:ascii="Arial" w:cs="Arial" w:eastAsia="Arial" w:hAnsi="Arial"/>
          <w:color w:val="1A1A1A"/>
          <w:sz w:val="19"/>
          <w:szCs w:val="19"/>
        </w:rPr>
        <w:t xml:space="preserve">	•  IT Cost Reduction &amp; Technology Rationalization</w:t>
      </w:r>
    </w:p>
    <w:p>
      <w:pPr>
        <w:tabs>
          <w:tab w:val="left" w:pos="4860"/>
        </w:tabs>
        <w:spacing w:after="60"/>
      </w:pPr>
      <w:r>
        <w:rPr>
          <w:rFonts w:ascii="Arial" w:cs="Arial" w:eastAsia="Arial" w:hAnsi="Arial"/>
          <w:color w:val="1A1A1A"/>
          <w:sz w:val="19"/>
          <w:szCs w:val="19"/>
        </w:rPr>
        <w:t xml:space="preserve">•  PMO Leadership &amp; Delivery Governance</w:t>
      </w:r>
      <w:r>
        <w:rPr>
          <w:rFonts w:ascii="Arial" w:cs="Arial" w:eastAsia="Arial" w:hAnsi="Arial"/>
          <w:color w:val="1A1A1A"/>
          <w:sz w:val="19"/>
          <w:szCs w:val="19"/>
        </w:rPr>
        <w:t xml:space="preserve">	•  Cloud/SaaS Strategy &amp; Delivery</w:t>
      </w:r>
    </w:p>
    <w:p>
      <w:pPr>
        <w:tabs>
          <w:tab w:val="left" w:pos="4860"/>
        </w:tabs>
        <w:spacing w:after="60"/>
      </w:pPr>
      <w:r>
        <w:rPr>
          <w:rFonts w:ascii="Arial" w:cs="Arial" w:eastAsia="Arial" w:hAnsi="Arial"/>
          <w:color w:val="1A1A1A"/>
          <w:sz w:val="19"/>
          <w:szCs w:val="19"/>
        </w:rPr>
        <w:t xml:space="preserve">•  Organizational Change Management (Prosci®)</w:t>
      </w:r>
      <w:r>
        <w:rPr>
          <w:rFonts w:ascii="Arial" w:cs="Arial" w:eastAsia="Arial" w:hAnsi="Arial"/>
          <w:color w:val="1A1A1A"/>
          <w:sz w:val="19"/>
          <w:szCs w:val="19"/>
        </w:rPr>
        <w:t xml:space="preserve">	•  IT Organization Transformation</w:t>
      </w:r>
    </w:p>
    <w:p>
      <w:pPr>
        <w:tabs>
          <w:tab w:val="left" w:pos="4860"/>
        </w:tabs>
        <w:spacing w:after="60"/>
      </w:pPr>
      <w:r>
        <w:rPr>
          <w:rFonts w:ascii="Arial" w:cs="Arial" w:eastAsia="Arial" w:hAnsi="Arial"/>
          <w:color w:val="1A1A1A"/>
          <w:sz w:val="19"/>
          <w:szCs w:val="19"/>
        </w:rPr>
        <w:t xml:space="preserve">•  PE Portfolio Company Operations</w:t>
      </w:r>
      <w:r>
        <w:rPr>
          <w:rFonts w:ascii="Arial" w:cs="Arial" w:eastAsia="Arial" w:hAnsi="Arial"/>
          <w:color w:val="1A1A1A"/>
          <w:sz w:val="19"/>
          <w:szCs w:val="19"/>
        </w:rPr>
        <w:t xml:space="preserve">	•  AI Strategy &amp; Emerging Technology Advisory</w:t>
      </w:r>
    </w:p>
    <w:p>
      <w:pPr>
        <w:pBdr>
          <w:bottom w:val="single" w:color="1F5C99" w:sz="4" w:space="2"/>
        </w:pBdr>
        <w:spacing w:before="200" w:after="80"/>
      </w:pPr>
      <w:r>
        <w:rPr>
          <w:rFonts w:ascii="Arial" w:cs="Arial" w:eastAsia="Arial" w:hAnsi="Arial"/>
          <w:b/>
          <w:bCs/>
          <w:color w:val="1F5C99"/>
          <w:sz w:val="22"/>
          <w:szCs w:val="22"/>
        </w:rPr>
        <w:t xml:space="preserve">TECHNOLOGY ECOSYSTEM</w:t>
      </w:r>
    </w:p>
    <w:p>
      <w:pPr>
        <w:spacing w:after="80"/>
      </w:pPr>
      <w:r>
        <w:rPr>
          <w:rFonts w:ascii="Arial" w:cs="Arial" w:eastAsia="Arial" w:hAnsi="Arial"/>
          <w:b w:val="false"/>
          <w:bCs w:val="false"/>
          <w:i w:val="false"/>
          <w:iCs w:val="false"/>
          <w:color w:val="1A1A1A"/>
          <w:sz w:val="20"/>
          <w:szCs w:val="20"/>
        </w:rPr>
        <w:t xml:space="preserve">Platforms &amp; Ecosystems: Oracle RDBMS, Ellucian Banner, Anthology, Workday, Salesforce, AWS, Azure, CRM, Dynamics, SAP (exposure), Claude, Claude Code</w:t>
      </w:r>
    </w:p>
    <w:p>
      <w:pPr>
        <w:pBdr>
          <w:bottom w:val="single" w:color="1F5C99" w:sz="4" w:space="2"/>
        </w:pBdr>
        <w:spacing w:before="200" w:after="80"/>
      </w:pPr>
      <w:r>
        <w:rPr>
          <w:rFonts w:ascii="Arial" w:cs="Arial" w:eastAsia="Arial" w:hAnsi="Arial"/>
          <w:b/>
          <w:bCs/>
          <w:color w:val="1F5C99"/>
          <w:sz w:val="22"/>
          <w:szCs w:val="22"/>
        </w:rPr>
        <w:t xml:space="preserve">EXPERT WITNESS &amp; RECOVERY HIGHLIGHTS</w:t>
      </w:r>
    </w:p>
    <w:p>
      <w:pPr>
        <w:pStyle w:val="ListParagraph"/>
        <w:numPr>
          <w:ilvl w:val="0"/>
          <w:numId w:val="2"/>
        </w:numPr>
        <w:spacing w:after="60"/>
      </w:pPr>
      <w:r>
        <w:rPr>
          <w:rFonts w:ascii="Arial" w:cs="Arial" w:eastAsia="Arial" w:hAnsi="Arial"/>
          <w:color w:val="1A1A1A"/>
          <w:sz w:val="19"/>
          <w:szCs w:val="19"/>
        </w:rPr>
        <w:t xml:space="preserve">Recovered multiple failed large-scale ERP implementations including Ivy League and multi-campus (MEP) institutional deployments — in each case resulting in cessation of active client legal actions and full restoration of client confidence. (Ellucian, 2015–2017)</w:t>
      </w:r>
    </w:p>
    <w:p>
      <w:pPr>
        <w:pStyle w:val="ListParagraph"/>
        <w:numPr>
          <w:ilvl w:val="0"/>
          <w:numId w:val="2"/>
        </w:numPr>
        <w:spacing w:after="60"/>
      </w:pPr>
      <w:r>
        <w:rPr>
          <w:rFonts w:ascii="Arial" w:cs="Arial" w:eastAsia="Arial" w:hAnsi="Arial"/>
          <w:color w:val="1A1A1A"/>
          <w:sz w:val="19"/>
          <w:szCs w:val="19"/>
        </w:rPr>
        <w:t xml:space="preserve">Active expert witness consultant in IT disputes, specializing in ERP service recovery and failed implementation analysis — retained to evaluate technical claims, assess delivery standards, and provide expert opinion on enterprise technology matters. (Gratton Advisory, 2020–Present)</w:t>
      </w:r>
    </w:p>
    <w:p>
      <w:pPr>
        <w:pStyle w:val="ListParagraph"/>
        <w:numPr>
          <w:ilvl w:val="0"/>
          <w:numId w:val="2"/>
        </w:numPr>
        <w:spacing w:after="60"/>
      </w:pPr>
      <w:r>
        <w:rPr>
          <w:rFonts w:ascii="Arial" w:cs="Arial" w:eastAsia="Arial" w:hAnsi="Arial"/>
          <w:color w:val="1A1A1A"/>
          <w:sz w:val="19"/>
          <w:szCs w:val="19"/>
        </w:rPr>
        <w:t xml:space="preserve">Served as primary technology leader for a major client navigating a complex $12M ERP implementation in crisis — conducted rapid IT assessment, restructured the delivery team, established governance and controls, and delivered on time and on budget. (Gratton Advisory)</w:t>
      </w:r>
    </w:p>
    <w:p>
      <w:pPr>
        <w:pStyle w:val="ListParagraph"/>
        <w:numPr>
          <w:ilvl w:val="0"/>
          <w:numId w:val="2"/>
        </w:numPr>
        <w:spacing w:after="60"/>
      </w:pPr>
      <w:r>
        <w:rPr>
          <w:rFonts w:ascii="Arial" w:cs="Arial" w:eastAsia="Arial" w:hAnsi="Arial"/>
          <w:color w:val="1A1A1A"/>
          <w:sz w:val="19"/>
          <w:szCs w:val="19"/>
        </w:rPr>
        <w:t xml:space="preserve">Led Ellucian’s largest-ever ERP implementation: a 41-school deployment with 25 development teams, owning the entire technology stack, all technical resources, and the client executive relationship end-to-end. (Ellucian, 2015)</w:t>
      </w:r>
    </w:p>
    <w:p>
      <w:pPr>
        <w:pStyle w:val="ListParagraph"/>
        <w:numPr>
          <w:ilvl w:val="0"/>
          <w:numId w:val="2"/>
        </w:numPr>
        <w:spacing w:after="60"/>
      </w:pPr>
      <w:r>
        <w:rPr>
          <w:rFonts w:ascii="Arial" w:cs="Arial" w:eastAsia="Arial" w:hAnsi="Arial"/>
          <w:color w:val="1A1A1A"/>
          <w:sz w:val="19"/>
          <w:szCs w:val="19"/>
        </w:rPr>
        <w:t xml:space="preserve">Retooled technical project plans and integration frameworks for Ellucian Professional Services based on field findings — subsequently adopted company-wide, establishing new delivery standards across the portfolio. (Ellucian, 2015–2017)</w:t>
      </w:r>
    </w:p>
    <w:p>
      <w:pPr>
        <w:pStyle w:val="ListParagraph"/>
        <w:numPr>
          <w:ilvl w:val="0"/>
          <w:numId w:val="2"/>
        </w:numPr>
        <w:spacing w:after="60"/>
      </w:pPr>
      <w:r>
        <w:rPr>
          <w:rFonts w:ascii="Arial" w:cs="Arial" w:eastAsia="Arial" w:hAnsi="Arial"/>
          <w:color w:val="1A1A1A"/>
          <w:sz w:val="19"/>
          <w:szCs w:val="19"/>
        </w:rPr>
        <w:t xml:space="preserve">Pioneered the first VPD/MEP regional island deployment with language translation — established a repeatable methodology and standard framework formally adopted across Professional Services. (Ellucian, 2014)</w:t>
      </w:r>
    </w:p>
    <w:p>
      <w:pPr>
        <w:pStyle w:val="ListParagraph"/>
        <w:numPr>
          <w:ilvl w:val="0"/>
          <w:numId w:val="2"/>
        </w:numPr>
        <w:spacing w:after="60"/>
      </w:pPr>
      <w:r>
        <w:rPr>
          <w:rFonts w:ascii="Arial" w:cs="Arial" w:eastAsia="Arial" w:hAnsi="Arial"/>
          <w:color w:val="1A1A1A"/>
          <w:sz w:val="19"/>
          <w:szCs w:val="19"/>
        </w:rPr>
        <w:t xml:space="preserve">Retained at-risk client relationships representing $50M+ ARR across multiple engagements through rapid operational stabilization and restored delivery confidence.</w:t>
      </w:r>
    </w:p>
    <w:p>
      <w:pPr>
        <w:pBdr>
          <w:bottom w:val="single" w:color="1F5C99" w:sz="4" w:space="2"/>
        </w:pBdr>
        <w:spacing w:before="200" w:after="80"/>
      </w:pPr>
      <w:r>
        <w:rPr>
          <w:rFonts w:ascii="Arial" w:cs="Arial" w:eastAsia="Arial" w:hAnsi="Arial"/>
          <w:b/>
          <w:bCs/>
          <w:color w:val="1F5C99"/>
          <w:sz w:val="22"/>
          <w:szCs w:val="22"/>
        </w:rPr>
        <w:t xml:space="preserve">CAREER SUMMARY</w:t>
      </w:r>
    </w:p>
    <w:p>
      <w:pPr>
        <w:spacing w:before="160" w:after="40"/>
      </w:pPr>
      <w:r>
        <w:rPr>
          <w:rFonts w:ascii="Arial" w:cs="Arial" w:eastAsia="Arial" w:hAnsi="Arial"/>
          <w:b/>
          <w:bCs/>
          <w:color w:val="1A1A1A"/>
          <w:sz w:val="21"/>
          <w:szCs w:val="21"/>
        </w:rPr>
        <w:t xml:space="preserve">Founder &amp; Principal — IT Expert Witness &amp; Fractional CIO</w:t>
      </w:r>
      <w:r>
        <w:rPr>
          <w:rFonts w:ascii="Arial" w:cs="Arial" w:eastAsia="Arial" w:hAnsi="Arial"/>
          <w:color w:val="444444"/>
          <w:sz w:val="21"/>
          <w:szCs w:val="21"/>
        </w:rPr>
        <w:t xml:space="preserve">  |  </w:t>
      </w:r>
      <w:r>
        <w:rPr>
          <w:rFonts w:ascii="Arial" w:cs="Arial" w:eastAsia="Arial" w:hAnsi="Arial"/>
          <w:b/>
          <w:bCs/>
          <w:color w:val="1F5C99"/>
          <w:sz w:val="21"/>
          <w:szCs w:val="21"/>
        </w:rPr>
        <w:t xml:space="preserve">Gratton Advisory</w:t>
      </w:r>
      <w:r>
        <w:rPr>
          <w:rFonts w:ascii="Arial" w:cs="Arial" w:eastAsia="Arial" w:hAnsi="Arial"/>
          <w:color w:val="444444"/>
          <w:sz w:val="21"/>
          <w:szCs w:val="21"/>
        </w:rPr>
        <w:t xml:space="preserve">  |  2020 – Present</w:t>
      </w:r>
    </w:p>
    <w:p>
      <w:pPr>
        <w:spacing w:after="80"/>
      </w:pPr>
      <w:r>
        <w:rPr>
          <w:rFonts w:ascii="Arial" w:cs="Arial" w:eastAsia="Arial" w:hAnsi="Arial"/>
          <w:b w:val="false"/>
          <w:bCs w:val="false"/>
          <w:i/>
          <w:iCs/>
          <w:color w:val="444444"/>
          <w:sz w:val="19"/>
          <w:szCs w:val="19"/>
        </w:rPr>
        <w:t xml:space="preserve">Independent technology advisory firm providing IT expert witness services, Fractional CIO advisory, and enterprise transformation consulting to legal counsel, mid-market, and PE-backed organizations.</w:t>
      </w:r>
    </w:p>
    <w:p>
      <w:pPr>
        <w:spacing w:after="80"/>
      </w:pPr>
      <w:r>
        <w:rPr>
          <w:rFonts w:ascii="Arial" w:cs="Arial" w:eastAsia="Arial" w:hAnsi="Arial"/>
          <w:b w:val="false"/>
          <w:bCs w:val="false"/>
          <w:i w:val="false"/>
          <w:iCs w:val="false"/>
          <w:color w:val="1A1A1A"/>
          <w:sz w:val="20"/>
          <w:szCs w:val="20"/>
        </w:rPr>
        <w:t xml:space="preserve">Serve as an independent IT expert witness in technology disputes and as a fractional CIO for mid-market and PE-backed organizations. Expert witness engagements focus on ERP implementation failures, technology service delivery disputes, IT governance deficiencies, and standard of care assessments. Advisory work spans IT strategy, operating model design, vendor rationalization, cybersecurity governance, and post-merger technology integration.</w:t>
      </w:r>
    </w:p>
    <w:p>
      <w:pPr>
        <w:pStyle w:val="ListParagraph"/>
        <w:numPr>
          <w:ilvl w:val="0"/>
          <w:numId w:val="2"/>
        </w:numPr>
        <w:spacing w:after="60"/>
      </w:pPr>
      <w:r>
        <w:rPr>
          <w:rFonts w:ascii="Arial" w:cs="Arial" w:eastAsia="Arial" w:hAnsi="Arial"/>
          <w:color w:val="1A1A1A"/>
          <w:sz w:val="19"/>
          <w:szCs w:val="19"/>
        </w:rPr>
        <w:t xml:space="preserve">Active expert witness consultant in IT disputes, specializing in ERP service recovery and failed implementation analysis — providing technical evaluation, deposition support, and expert opinion for legal counsel.</w:t>
      </w:r>
    </w:p>
    <w:p>
      <w:pPr>
        <w:pStyle w:val="ListParagraph"/>
        <w:numPr>
          <w:ilvl w:val="0"/>
          <w:numId w:val="2"/>
        </w:numPr>
        <w:spacing w:after="60"/>
      </w:pPr>
      <w:r>
        <w:rPr>
          <w:rFonts w:ascii="Arial" w:cs="Arial" w:eastAsia="Arial" w:hAnsi="Arial"/>
          <w:color w:val="1A1A1A"/>
          <w:sz w:val="19"/>
          <w:szCs w:val="19"/>
        </w:rPr>
        <w:t xml:space="preserve">Directed post-merger technology integration for a major client — executing data separation and migration across two technology stacks, rationalizing infrastructure, remediating cybersecurity gaps, and delivering $200K+ in annual OpEx savings.</w:t>
      </w:r>
    </w:p>
    <w:p>
      <w:pPr>
        <w:pStyle w:val="ListParagraph"/>
        <w:numPr>
          <w:ilvl w:val="0"/>
          <w:numId w:val="2"/>
        </w:numPr>
        <w:spacing w:after="60"/>
      </w:pPr>
      <w:r>
        <w:rPr>
          <w:rFonts w:ascii="Arial" w:cs="Arial" w:eastAsia="Arial" w:hAnsi="Arial"/>
          <w:color w:val="1A1A1A"/>
          <w:sz w:val="19"/>
          <w:szCs w:val="19"/>
        </w:rPr>
        <w:t xml:space="preserve">Served as primary technology leader for a major client navigating a complex $12M ERP implementation — conducted rapid IT assessment, restructured the delivery team, established governance and controls, and delivered on time and on budget. Recovered $100K+ in IT budget through application rationalization.</w:t>
      </w:r>
    </w:p>
    <w:p>
      <w:pPr>
        <w:pStyle w:val="ListParagraph"/>
        <w:numPr>
          <w:ilvl w:val="0"/>
          <w:numId w:val="2"/>
        </w:numPr>
        <w:spacing w:after="60"/>
      </w:pPr>
      <w:r>
        <w:rPr>
          <w:rFonts w:ascii="Arial" w:cs="Arial" w:eastAsia="Arial" w:hAnsi="Arial"/>
          <w:color w:val="1A1A1A"/>
          <w:sz w:val="19"/>
          <w:szCs w:val="19"/>
        </w:rPr>
        <w:t xml:space="preserve">Provided IT due diligence and technology advisory support to PE-backed organizations, identifying integration risks, technology synergy opportunities, and value creation roadmaps.</w:t>
      </w:r>
    </w:p>
    <w:p>
      <w:pPr>
        <w:pStyle w:val="ListParagraph"/>
        <w:numPr>
          <w:ilvl w:val="0"/>
          <w:numId w:val="2"/>
        </w:numPr>
        <w:spacing w:after="60"/>
      </w:pPr>
      <w:r>
        <w:rPr>
          <w:rFonts w:ascii="Arial" w:cs="Arial" w:eastAsia="Arial" w:hAnsi="Arial"/>
          <w:color w:val="1A1A1A"/>
          <w:sz w:val="19"/>
          <w:szCs w:val="19"/>
        </w:rPr>
        <w:t xml:space="preserve">Directed cross-functional delivery across Oracle, AWS, Azure, Salesforce, Workday, and Ellucian — governing vendor performance and driving adoption across complex, multi-stakeholder environments.</w:t>
      </w:r>
    </w:p>
    <w:p>
      <w:pPr>
        <w:spacing w:before="160" w:after="40"/>
      </w:pPr>
      <w:r>
        <w:rPr>
          <w:rFonts w:ascii="Arial" w:cs="Arial" w:eastAsia="Arial" w:hAnsi="Arial"/>
          <w:b/>
          <w:bCs/>
          <w:color w:val="1A1A1A"/>
          <w:sz w:val="21"/>
          <w:szCs w:val="21"/>
        </w:rPr>
        <w:t xml:space="preserve">Senior Vice President, Client Technology &amp; Operations</w:t>
      </w:r>
      <w:r>
        <w:rPr>
          <w:rFonts w:ascii="Arial" w:cs="Arial" w:eastAsia="Arial" w:hAnsi="Arial"/>
          <w:color w:val="444444"/>
          <w:sz w:val="21"/>
          <w:szCs w:val="21"/>
        </w:rPr>
        <w:t xml:space="preserve">  |  </w:t>
      </w:r>
      <w:r>
        <w:rPr>
          <w:rFonts w:ascii="Arial" w:cs="Arial" w:eastAsia="Arial" w:hAnsi="Arial"/>
          <w:b/>
          <w:bCs/>
          <w:color w:val="1F5C99"/>
          <w:sz w:val="21"/>
          <w:szCs w:val="21"/>
        </w:rPr>
        <w:t xml:space="preserve">Academic Partnerships</w:t>
      </w:r>
      <w:r>
        <w:rPr>
          <w:rFonts w:ascii="Arial" w:cs="Arial" w:eastAsia="Arial" w:hAnsi="Arial"/>
          <w:color w:val="444444"/>
          <w:sz w:val="21"/>
          <w:szCs w:val="21"/>
        </w:rPr>
        <w:t xml:space="preserve">  |  2018 – 2020</w:t>
      </w:r>
    </w:p>
    <w:p>
      <w:pPr>
        <w:spacing w:after="80"/>
      </w:pPr>
      <w:r>
        <w:rPr>
          <w:rFonts w:ascii="Arial" w:cs="Arial" w:eastAsia="Arial" w:hAnsi="Arial"/>
          <w:b w:val="false"/>
          <w:bCs w:val="false"/>
          <w:i/>
          <w:iCs/>
          <w:color w:val="444444"/>
          <w:sz w:val="19"/>
          <w:szCs w:val="19"/>
        </w:rPr>
        <w:t xml:space="preserve">PE-backed B2B technology services company delivering managed online program operations and IT support for 55+ enterprise clients. Acquired by Wiley Education in December 2019; rebranded as Risepoint.</w:t>
      </w:r>
    </w:p>
    <w:p>
      <w:pPr>
        <w:spacing w:after="80"/>
      </w:pPr>
      <w:r>
        <w:rPr>
          <w:rFonts w:ascii="Arial" w:cs="Arial" w:eastAsia="Arial" w:hAnsi="Arial"/>
          <w:b w:val="false"/>
          <w:bCs w:val="false"/>
          <w:i w:val="false"/>
          <w:iCs w:val="false"/>
          <w:color w:val="1A1A1A"/>
          <w:sz w:val="20"/>
          <w:szCs w:val="20"/>
        </w:rPr>
        <w:t xml:space="preserve">Led a Client Delivery team of 30+, including IT project managers, business process analysts, data analysts, and operational account managers. Simultaneously chaired IT Steering Committee, IT Governance, and Data Governance, and owned the AP Governance Committee, Business Process Improvement Committee, integration data model, and CRM selection board.</w:t>
      </w:r>
    </w:p>
    <w:p>
      <w:pPr>
        <w:pStyle w:val="ListParagraph"/>
        <w:numPr>
          <w:ilvl w:val="0"/>
          <w:numId w:val="2"/>
        </w:numPr>
        <w:spacing w:after="60"/>
      </w:pPr>
      <w:r>
        <w:rPr>
          <w:rFonts w:ascii="Arial" w:cs="Arial" w:eastAsia="Arial" w:hAnsi="Arial"/>
          <w:color w:val="1A1A1A"/>
          <w:sz w:val="19"/>
          <w:szCs w:val="19"/>
        </w:rPr>
        <w:t xml:space="preserve">Led IT organization transformation — resolving organizational turmoil and rebuilding a fragmented, underperforming 30-person delivery team through structured governance, accountability frameworks, and process re-engineering, achieving a 75% efficiency gain.</w:t>
      </w:r>
    </w:p>
    <w:p>
      <w:pPr>
        <w:pStyle w:val="ListParagraph"/>
        <w:numPr>
          <w:ilvl w:val="0"/>
          <w:numId w:val="2"/>
        </w:numPr>
        <w:spacing w:after="60"/>
      </w:pPr>
      <w:r>
        <w:rPr>
          <w:rFonts w:ascii="Arial" w:cs="Arial" w:eastAsia="Arial" w:hAnsi="Arial"/>
          <w:color w:val="1A1A1A"/>
          <w:sz w:val="19"/>
          <w:szCs w:val="19"/>
        </w:rPr>
        <w:t xml:space="preserve">Operationalized the technology and delivery organization to support 55+ enterprise accounts and sustain rapid expansion of 8–12 new accounts per year.</w:t>
      </w:r>
    </w:p>
    <w:p>
      <w:pPr>
        <w:pStyle w:val="ListParagraph"/>
        <w:numPr>
          <w:ilvl w:val="0"/>
          <w:numId w:val="2"/>
        </w:numPr>
        <w:spacing w:after="60"/>
      </w:pPr>
      <w:r>
        <w:rPr>
          <w:rFonts w:ascii="Arial" w:cs="Arial" w:eastAsia="Arial" w:hAnsi="Arial"/>
          <w:color w:val="1A1A1A"/>
          <w:sz w:val="19"/>
          <w:szCs w:val="19"/>
        </w:rPr>
        <w:t xml:space="preserve">Chaired IT Steering, IT Governance, and Data Governance simultaneously; owned enterprise-wide technology planning, CRM selection, integration architecture, and system/data-level requirements.</w:t>
      </w:r>
    </w:p>
    <w:p>
      <w:pPr>
        <w:pStyle w:val="ListParagraph"/>
        <w:numPr>
          <w:ilvl w:val="0"/>
          <w:numId w:val="2"/>
        </w:numPr>
        <w:spacing w:after="60"/>
      </w:pPr>
      <w:r>
        <w:rPr>
          <w:rFonts w:ascii="Arial" w:cs="Arial" w:eastAsia="Arial" w:hAnsi="Arial"/>
          <w:color w:val="1A1A1A"/>
          <w:sz w:val="19"/>
          <w:szCs w:val="19"/>
        </w:rPr>
        <w:t xml:space="preserve">Increased client retention by 30% through operational and technical improvements that protected ARR and reduced churn risk ahead of acquisition close.</w:t>
      </w:r>
    </w:p>
    <w:p>
      <w:pPr>
        <w:spacing w:before="160" w:after="40"/>
      </w:pPr>
      <w:r>
        <w:rPr>
          <w:rFonts w:ascii="Arial" w:cs="Arial" w:eastAsia="Arial" w:hAnsi="Arial"/>
          <w:b/>
          <w:bCs/>
          <w:color w:val="1A1A1A"/>
          <w:sz w:val="21"/>
          <w:szCs w:val="21"/>
        </w:rPr>
        <w:t xml:space="preserve">Vice President, Partner Solutions</w:t>
      </w:r>
      <w:r>
        <w:rPr>
          <w:rFonts w:ascii="Arial" w:cs="Arial" w:eastAsia="Arial" w:hAnsi="Arial"/>
          <w:color w:val="444444"/>
          <w:sz w:val="21"/>
          <w:szCs w:val="21"/>
        </w:rPr>
        <w:t xml:space="preserve">  |  </w:t>
      </w:r>
      <w:r>
        <w:rPr>
          <w:rFonts w:ascii="Arial" w:cs="Arial" w:eastAsia="Arial" w:hAnsi="Arial"/>
          <w:b/>
          <w:bCs/>
          <w:color w:val="1F5C99"/>
          <w:sz w:val="21"/>
          <w:szCs w:val="21"/>
        </w:rPr>
        <w:t xml:space="preserve">Academic Partnerships</w:t>
      </w:r>
      <w:r>
        <w:rPr>
          <w:rFonts w:ascii="Arial" w:cs="Arial" w:eastAsia="Arial" w:hAnsi="Arial"/>
          <w:color w:val="444444"/>
          <w:sz w:val="21"/>
          <w:szCs w:val="21"/>
        </w:rPr>
        <w:t xml:space="preserve">  |  April 2018 – September 2018</w:t>
      </w:r>
    </w:p>
    <w:p>
      <w:pPr>
        <w:pStyle w:val="ListParagraph"/>
        <w:numPr>
          <w:ilvl w:val="0"/>
          <w:numId w:val="2"/>
        </w:numPr>
        <w:spacing w:after="60"/>
      </w:pPr>
      <w:r>
        <w:rPr>
          <w:rFonts w:ascii="Arial" w:cs="Arial" w:eastAsia="Arial" w:hAnsi="Arial"/>
          <w:color w:val="1A1A1A"/>
          <w:sz w:val="19"/>
          <w:szCs w:val="19"/>
        </w:rPr>
        <w:t xml:space="preserve">Built and led a new Partner Solutions team providing technical leadership for data integration — conducting root cause analysis, documenting formal IT requirements, and publishing the first RACI chart for IT and Professional Services roles.</w:t>
      </w:r>
    </w:p>
    <w:p>
      <w:pPr>
        <w:pStyle w:val="ListParagraph"/>
        <w:numPr>
          <w:ilvl w:val="0"/>
          <w:numId w:val="2"/>
        </w:numPr>
        <w:spacing w:after="60"/>
      </w:pPr>
      <w:r>
        <w:rPr>
          <w:rFonts w:ascii="Arial" w:cs="Arial" w:eastAsia="Arial" w:hAnsi="Arial"/>
          <w:color w:val="1A1A1A"/>
          <w:sz w:val="19"/>
          <w:szCs w:val="19"/>
        </w:rPr>
        <w:t xml:space="preserve">Restructured a struggling 21-person operations team through talent development and team-building, achieving a 50% boost in efficiency and productivity.</w:t>
      </w:r>
    </w:p>
    <w:p>
      <w:pPr>
        <w:spacing w:before="160" w:after="40"/>
      </w:pPr>
      <w:r>
        <w:rPr>
          <w:rFonts w:ascii="Arial" w:cs="Arial" w:eastAsia="Arial" w:hAnsi="Arial"/>
          <w:b/>
          <w:bCs/>
          <w:color w:val="1A1A1A"/>
          <w:sz w:val="21"/>
          <w:szCs w:val="21"/>
        </w:rPr>
        <w:t xml:space="preserve">Senior Principal Technical Consultant</w:t>
      </w:r>
      <w:r>
        <w:rPr>
          <w:rFonts w:ascii="Arial" w:cs="Arial" w:eastAsia="Arial" w:hAnsi="Arial"/>
          <w:color w:val="444444"/>
          <w:sz w:val="21"/>
          <w:szCs w:val="21"/>
        </w:rPr>
        <w:t xml:space="preserve">  |  </w:t>
      </w:r>
      <w:r>
        <w:rPr>
          <w:rFonts w:ascii="Arial" w:cs="Arial" w:eastAsia="Arial" w:hAnsi="Arial"/>
          <w:b/>
          <w:bCs/>
          <w:color w:val="1F5C99"/>
          <w:sz w:val="21"/>
          <w:szCs w:val="21"/>
        </w:rPr>
        <w:t xml:space="preserve">Ellucian (formerly SunGard Higher Education)</w:t>
      </w:r>
      <w:r>
        <w:rPr>
          <w:rFonts w:ascii="Arial" w:cs="Arial" w:eastAsia="Arial" w:hAnsi="Arial"/>
          <w:color w:val="444444"/>
          <w:sz w:val="21"/>
          <w:szCs w:val="21"/>
        </w:rPr>
        <w:t xml:space="preserve">  |  2011 – 2018</w:t>
      </w:r>
    </w:p>
    <w:p>
      <w:pPr>
        <w:spacing w:after="80"/>
      </w:pPr>
      <w:r>
        <w:rPr>
          <w:rFonts w:ascii="Arial" w:cs="Arial" w:eastAsia="Arial" w:hAnsi="Arial"/>
          <w:b w:val="false"/>
          <w:bCs w:val="false"/>
          <w:i/>
          <w:iCs/>
          <w:color w:val="444444"/>
          <w:sz w:val="19"/>
          <w:szCs w:val="19"/>
        </w:rPr>
        <w:t xml:space="preserve">The dominant Higher Education ERP platform serving national and international colleges and universities. Industry-leading IT services provider of Banner SIS and administrative technology solutions.</w:t>
      </w:r>
    </w:p>
    <w:p>
      <w:pPr>
        <w:spacing w:after="80"/>
      </w:pPr>
      <w:r>
        <w:rPr>
          <w:rFonts w:ascii="Arial" w:cs="Arial" w:eastAsia="Arial" w:hAnsi="Arial"/>
          <w:b w:val="false"/>
          <w:bCs w:val="false"/>
          <w:i w:val="false"/>
          <w:iCs w:val="false"/>
          <w:color w:val="1A1A1A"/>
          <w:sz w:val="20"/>
          <w:szCs w:val="20"/>
        </w:rPr>
        <w:t xml:space="preserve">Traveling technology principal and client-facing delivery leader responsible for $15M+ in services across large-scale Banner ERP implementations running on Oracle RDBMS with integrated systems. Owned the full client technology relationship — from technical architecture and infrastructure through data migrations, risk mitigation, integration planning, and ongoing strategic advisory. Served as the de facto CIO partner for institutional C-suite and technology leaders navigating complex enterprise system transformations.</w:t>
      </w:r>
    </w:p>
    <w:p>
      <w:pPr>
        <w:pStyle w:val="ListParagraph"/>
        <w:numPr>
          <w:ilvl w:val="0"/>
          <w:numId w:val="2"/>
        </w:numPr>
        <w:spacing w:after="60"/>
      </w:pPr>
      <w:r>
        <w:rPr>
          <w:rFonts w:ascii="Arial" w:cs="Arial" w:eastAsia="Arial" w:hAnsi="Arial"/>
          <w:color w:val="1A1A1A"/>
          <w:sz w:val="19"/>
          <w:szCs w:val="19"/>
        </w:rPr>
        <w:t xml:space="preserve">Led Ellucian’s largest-ever ERP implementation: a 41-school deployment with 25 development teams — owned the entire technology stack, all technical resources, all data, and the client executive relationship throughout.</w:t>
      </w:r>
    </w:p>
    <w:p>
      <w:pPr>
        <w:pStyle w:val="ListParagraph"/>
        <w:numPr>
          <w:ilvl w:val="0"/>
          <w:numId w:val="2"/>
        </w:numPr>
        <w:spacing w:after="60"/>
      </w:pPr>
      <w:r>
        <w:rPr>
          <w:rFonts w:ascii="Arial" w:cs="Arial" w:eastAsia="Arial" w:hAnsi="Arial"/>
          <w:color w:val="1A1A1A"/>
          <w:sz w:val="19"/>
          <w:szCs w:val="19"/>
        </w:rPr>
        <w:t xml:space="preserve">Pioneered the first VPD/MEP regional island deployment with language translation — established a repeatable methodology and standard SEED database framework formally adopted across Professional Services.</w:t>
      </w:r>
    </w:p>
    <w:p>
      <w:pPr>
        <w:pStyle w:val="ListParagraph"/>
        <w:numPr>
          <w:ilvl w:val="0"/>
          <w:numId w:val="2"/>
        </w:numPr>
        <w:spacing w:after="60"/>
      </w:pPr>
      <w:r>
        <w:rPr>
          <w:rFonts w:ascii="Arial" w:cs="Arial" w:eastAsia="Arial" w:hAnsi="Arial"/>
          <w:color w:val="1A1A1A"/>
          <w:sz w:val="19"/>
          <w:szCs w:val="19"/>
        </w:rPr>
        <w:t xml:space="preserve">Recovered multiple failed large-scale implementations including Ivy League and multi-campus institutional deployments — resulting in cessation of active legal actions, restored client confidence, and reestablished delivery governance.</w:t>
      </w:r>
    </w:p>
    <w:p>
      <w:pPr>
        <w:pStyle w:val="ListParagraph"/>
        <w:numPr>
          <w:ilvl w:val="0"/>
          <w:numId w:val="2"/>
        </w:numPr>
        <w:spacing w:after="60"/>
      </w:pPr>
      <w:r>
        <w:rPr>
          <w:rFonts w:ascii="Arial" w:cs="Arial" w:eastAsia="Arial" w:hAnsi="Arial"/>
          <w:color w:val="1A1A1A"/>
          <w:sz w:val="19"/>
          <w:szCs w:val="19"/>
        </w:rPr>
        <w:t xml:space="preserve">Retooled technical project plans and integration frameworks for Ellucian Professional Services based on field findings — subsequently adopted company-wide, improving delivery consistency and risk mitigation across the portfolio.</w:t>
      </w:r>
    </w:p>
    <w:p>
      <w:pPr>
        <w:pStyle w:val="ListParagraph"/>
        <w:numPr>
          <w:ilvl w:val="0"/>
          <w:numId w:val="2"/>
        </w:numPr>
        <w:spacing w:after="60"/>
      </w:pPr>
      <w:r>
        <w:rPr>
          <w:rFonts w:ascii="Arial" w:cs="Arial" w:eastAsia="Arial" w:hAnsi="Arial"/>
          <w:color w:val="1A1A1A"/>
          <w:sz w:val="19"/>
          <w:szCs w:val="19"/>
        </w:rPr>
        <w:t xml:space="preserve">Cultivated trusted C-suite client relationships that resulted in selling more value-add consulting than any other team member — a direct outcome of being seen as a strategic technology partner.</w:t>
      </w:r>
    </w:p>
    <w:p>
      <w:pPr>
        <w:spacing w:before="160" w:after="40"/>
      </w:pPr>
      <w:r>
        <w:rPr>
          <w:rFonts w:ascii="Arial" w:cs="Arial" w:eastAsia="Arial" w:hAnsi="Arial"/>
          <w:b/>
          <w:bCs/>
          <w:color w:val="1A1A1A"/>
          <w:sz w:val="21"/>
          <w:szCs w:val="21"/>
        </w:rPr>
        <w:t xml:space="preserve">Principal Technical Consultant / Systems Integration Manager</w:t>
      </w:r>
      <w:r>
        <w:rPr>
          <w:rFonts w:ascii="Arial" w:cs="Arial" w:eastAsia="Arial" w:hAnsi="Arial"/>
          <w:color w:val="444444"/>
          <w:sz w:val="21"/>
          <w:szCs w:val="21"/>
        </w:rPr>
        <w:t xml:space="preserve">  |  </w:t>
      </w:r>
      <w:r>
        <w:rPr>
          <w:rFonts w:ascii="Arial" w:cs="Arial" w:eastAsia="Arial" w:hAnsi="Arial"/>
          <w:b/>
          <w:bCs/>
          <w:color w:val="1F5C99"/>
          <w:sz w:val="21"/>
          <w:szCs w:val="21"/>
        </w:rPr>
        <w:t xml:space="preserve">SunGard Higher Education</w:t>
      </w:r>
      <w:r>
        <w:rPr>
          <w:rFonts w:ascii="Arial" w:cs="Arial" w:eastAsia="Arial" w:hAnsi="Arial"/>
          <w:color w:val="444444"/>
          <w:sz w:val="21"/>
          <w:szCs w:val="21"/>
        </w:rPr>
        <w:t xml:space="preserve">  |  2009 – 2011</w:t>
      </w:r>
    </w:p>
    <w:p>
      <w:pPr>
        <w:pStyle w:val="ListParagraph"/>
        <w:numPr>
          <w:ilvl w:val="0"/>
          <w:numId w:val="2"/>
        </w:numPr>
        <w:spacing w:after="60"/>
      </w:pPr>
      <w:r>
        <w:rPr>
          <w:rFonts w:ascii="Arial" w:cs="Arial" w:eastAsia="Arial" w:hAnsi="Arial"/>
          <w:color w:val="1A1A1A"/>
          <w:sz w:val="19"/>
          <w:szCs w:val="19"/>
        </w:rPr>
        <w:t xml:space="preserve">Founded and built the Integration Services Department under Professional Services — establishing the delivery model, team structure, and standard integration frameworks for Banner data exchange services.</w:t>
      </w:r>
    </w:p>
    <w:p>
      <w:pPr>
        <w:pStyle w:val="ListParagraph"/>
        <w:numPr>
          <w:ilvl w:val="0"/>
          <w:numId w:val="2"/>
        </w:numPr>
        <w:spacing w:after="60"/>
      </w:pPr>
      <w:r>
        <w:rPr>
          <w:rFonts w:ascii="Arial" w:cs="Arial" w:eastAsia="Arial" w:hAnsi="Arial"/>
          <w:color w:val="1A1A1A"/>
          <w:sz w:val="19"/>
          <w:szCs w:val="19"/>
        </w:rPr>
        <w:t xml:space="preserve">Brought to market the eInvoice and eProcurement integrations for Banner Finance; built the services delivery framework subsequently adopted company-wide.</w:t>
      </w:r>
    </w:p>
    <w:p>
      <w:pPr>
        <w:pStyle w:val="ListParagraph"/>
        <w:numPr>
          <w:ilvl w:val="0"/>
          <w:numId w:val="2"/>
        </w:numPr>
        <w:spacing w:after="60"/>
      </w:pPr>
      <w:r>
        <w:rPr>
          <w:rFonts w:ascii="Arial" w:cs="Arial" w:eastAsia="Arial" w:hAnsi="Arial"/>
          <w:color w:val="1A1A1A"/>
          <w:sz w:val="19"/>
          <w:szCs w:val="19"/>
        </w:rPr>
        <w:t xml:space="preserve">Partnered with third-party vendors to create standardized integration solutions; owned vendor relationships and technical architecture strategy.</w:t>
      </w:r>
    </w:p>
    <w:p>
      <w:pPr>
        <w:pBdr>
          <w:bottom w:val="single" w:color="1F5C99" w:sz="4" w:space="2"/>
        </w:pBdr>
        <w:spacing w:before="200" w:after="80"/>
      </w:pPr>
      <w:r>
        <w:rPr>
          <w:rFonts w:ascii="Arial" w:cs="Arial" w:eastAsia="Arial" w:hAnsi="Arial"/>
          <w:b/>
          <w:bCs/>
          <w:color w:val="1F5C99"/>
          <w:sz w:val="22"/>
          <w:szCs w:val="22"/>
        </w:rPr>
        <w:t xml:space="preserve">EARLIER CAREER — SUNGARD HIGHER EDUCATION (2000–2009)</w:t>
      </w:r>
    </w:p>
    <w:p>
      <w:pPr>
        <w:spacing w:after="80"/>
      </w:pPr>
      <w:r>
        <w:rPr>
          <w:rFonts w:ascii="Arial" w:cs="Arial" w:eastAsia="Arial" w:hAnsi="Arial"/>
          <w:b w:val="false"/>
          <w:bCs w:val="false"/>
          <w:i w:val="false"/>
          <w:iCs w:val="false"/>
          <w:color w:val="1A1A1A"/>
          <w:sz w:val="20"/>
          <w:szCs w:val="20"/>
        </w:rPr>
        <w:t xml:space="preserve">Progressed through five roles of increasing technical leadership at SunGard Higher Education, building deep ERP product expertise and consulting delivery capability: Senior Technical Consultant/Senior Technical Lead (2005–2009), Lead Software Engineer/Technical Lead (2002–2005), and Lead Programmer Analyst/Technical Consultant (2000–2002). Led Standards Committee, oversaw SDLC for complex client contract teams, and led the complete redesign of Registration Fee Assessment for Banner Student Product Development.</w:t>
      </w:r>
    </w:p>
    <w:p>
      <w:pPr>
        <w:pBdr>
          <w:bottom w:val="single" w:color="1F5C99" w:sz="4" w:space="2"/>
        </w:pBdr>
        <w:spacing w:before="200" w:after="80"/>
      </w:pPr>
      <w:r>
        <w:rPr>
          <w:rFonts w:ascii="Arial" w:cs="Arial" w:eastAsia="Arial" w:hAnsi="Arial"/>
          <w:b/>
          <w:bCs/>
          <w:color w:val="1F5C99"/>
          <w:sz w:val="22"/>
          <w:szCs w:val="22"/>
        </w:rPr>
        <w:t xml:space="preserve">FOUNDATION ROLE</w:t>
      </w:r>
    </w:p>
    <w:p>
      <w:pPr>
        <w:spacing w:after="80"/>
      </w:pPr>
      <w:r>
        <w:rPr>
          <w:rFonts w:ascii="Arial" w:cs="Arial" w:eastAsia="Arial" w:hAnsi="Arial"/>
          <w:b/>
          <w:bCs/>
          <w:i w:val="false"/>
          <w:iCs w:val="false"/>
          <w:color w:val="1A1A1A"/>
          <w:sz w:val="20"/>
          <w:szCs w:val="20"/>
        </w:rPr>
        <w:t xml:space="preserve">Programmer Analyst II  |  University of Vermont  |  Burlington, VT  |  1994 – 2000</w:t>
      </w:r>
    </w:p>
    <w:p>
      <w:pPr>
        <w:spacing w:after="80"/>
      </w:pPr>
      <w:r>
        <w:rPr>
          <w:rFonts w:ascii="Arial" w:cs="Arial" w:eastAsia="Arial" w:hAnsi="Arial"/>
          <w:b w:val="false"/>
          <w:bCs w:val="false"/>
          <w:i w:val="false"/>
          <w:iCs w:val="false"/>
          <w:color w:val="1A1A1A"/>
          <w:sz w:val="20"/>
          <w:szCs w:val="20"/>
        </w:rPr>
        <w:t xml:space="preserve">Technical point of contact for University Recruiting, Admissions, and Student Accounting on SunGard Banner. Provided technical support across Admissions, Student Loans, Student Accounts, and Student Billing. Recipient of the University of Vermont Technology Award (1998).</w:t>
      </w:r>
    </w:p>
    <w:p>
      <w:pPr>
        <w:pBdr>
          <w:bottom w:val="single" w:color="1F5C99" w:sz="4" w:space="2"/>
        </w:pBdr>
        <w:spacing w:before="200" w:after="80"/>
      </w:pPr>
      <w:r>
        <w:rPr>
          <w:rFonts w:ascii="Arial" w:cs="Arial" w:eastAsia="Arial" w:hAnsi="Arial"/>
          <w:b/>
          <w:bCs/>
          <w:color w:val="1F5C99"/>
          <w:sz w:val="22"/>
          <w:szCs w:val="22"/>
        </w:rPr>
        <w:t xml:space="preserve">AWARDS &amp; RECOGNITION</w:t>
      </w:r>
    </w:p>
    <w:p>
      <w:pPr>
        <w:spacing w:after="80"/>
      </w:pPr>
      <w:r>
        <w:rPr>
          <w:rFonts w:ascii="Arial" w:cs="Arial" w:eastAsia="Arial" w:hAnsi="Arial"/>
          <w:b w:val="false"/>
          <w:bCs w:val="false"/>
          <w:i w:val="false"/>
          <w:iCs w:val="false"/>
          <w:color w:val="1A1A1A"/>
          <w:sz w:val="20"/>
          <w:szCs w:val="20"/>
        </w:rPr>
        <w:t xml:space="preserve">13 company awards from Ellucian/SunGard (2003–2017) recognizing turnaround performance, client success, outstanding leadership, and problem-solving — including recognition from the CEO, EVP, and Regional Directors. Select highlights:</w:t>
      </w:r>
    </w:p>
    <w:p>
      <w:pPr>
        <w:pStyle w:val="ListParagraph"/>
        <w:numPr>
          <w:ilvl w:val="0"/>
          <w:numId w:val="2"/>
        </w:numPr>
        <w:spacing w:after="60"/>
      </w:pPr>
      <w:r>
        <w:rPr>
          <w:rFonts w:ascii="Arial" w:cs="Arial" w:eastAsia="Arial" w:hAnsi="Arial"/>
          <w:color w:val="1A1A1A"/>
          <w:sz w:val="19"/>
          <w:szCs w:val="19"/>
        </w:rPr>
        <w:t xml:space="preserve">Ellucian “Own Our Destiny” Take a Bow Award (Sep 2015) — Outstanding leadership achieving successful go-live for high-profile Ivy League client.</w:t>
      </w:r>
    </w:p>
    <w:p>
      <w:pPr>
        <w:pStyle w:val="ListParagraph"/>
        <w:numPr>
          <w:ilvl w:val="0"/>
          <w:numId w:val="2"/>
        </w:numPr>
        <w:spacing w:after="60"/>
      </w:pPr>
      <w:r>
        <w:rPr>
          <w:rFonts w:ascii="Arial" w:cs="Arial" w:eastAsia="Arial" w:hAnsi="Arial"/>
          <w:color w:val="1A1A1A"/>
          <w:sz w:val="19"/>
          <w:szCs w:val="19"/>
        </w:rPr>
        <w:t xml:space="preserve">Ellucian CLEAR Award, John Speer, CEO (Mar 2014) — Outstanding performance in successful ERP implementations.</w:t>
      </w:r>
    </w:p>
    <w:p>
      <w:pPr>
        <w:pStyle w:val="ListParagraph"/>
        <w:numPr>
          <w:ilvl w:val="0"/>
          <w:numId w:val="2"/>
        </w:numPr>
        <w:spacing w:after="60"/>
      </w:pPr>
      <w:r>
        <w:rPr>
          <w:rFonts w:ascii="Arial" w:cs="Arial" w:eastAsia="Arial" w:hAnsi="Arial"/>
          <w:color w:val="1A1A1A"/>
          <w:sz w:val="19"/>
          <w:szCs w:val="19"/>
        </w:rPr>
        <w:t xml:space="preserve">Employee Appreciation Award, VP Professional Services (Sep 2015) — Turnaround of troubled ERP implementation achieving successful client go-live.</w:t>
      </w:r>
    </w:p>
    <w:p>
      <w:pPr>
        <w:pStyle w:val="ListParagraph"/>
        <w:numPr>
          <w:ilvl w:val="0"/>
          <w:numId w:val="2"/>
        </w:numPr>
        <w:spacing w:after="60"/>
      </w:pPr>
      <w:r>
        <w:rPr>
          <w:rFonts w:ascii="Arial" w:cs="Arial" w:eastAsia="Arial" w:hAnsi="Arial"/>
          <w:color w:val="1A1A1A"/>
          <w:sz w:val="19"/>
          <w:szCs w:val="19"/>
        </w:rPr>
        <w:t xml:space="preserve">SunGard Project Management Team Award (Jun 2007) — Technical leadership on company’s largest client ERP implementation.</w:t>
      </w:r>
    </w:p>
    <w:p>
      <w:pPr>
        <w:spacing w:after="60"/>
      </w:pPr>
    </w:p>
    <w:p>
      <w:pPr>
        <w:spacing w:after="40"/>
      </w:pPr>
      <w:r>
        <w:rPr>
          <w:rFonts w:ascii="Arial" w:cs="Arial" w:eastAsia="Arial" w:hAnsi="Arial"/>
          <w:b/>
          <w:bCs/>
          <w:i w:val="false"/>
          <w:iCs w:val="false"/>
          <w:color w:val="1A1A1A"/>
          <w:sz w:val="20"/>
          <w:szCs w:val="20"/>
        </w:rPr>
        <w:t xml:space="preserve">Industry Recognition:</w:t>
      </w:r>
    </w:p>
    <w:p>
      <w:pPr>
        <w:pStyle w:val="ListParagraph"/>
        <w:numPr>
          <w:ilvl w:val="0"/>
          <w:numId w:val="2"/>
        </w:numPr>
        <w:spacing w:after="60"/>
      </w:pPr>
      <w:r>
        <w:rPr>
          <w:rFonts w:ascii="Arial" w:cs="Arial" w:eastAsia="Arial" w:hAnsi="Arial"/>
          <w:color w:val="1A1A1A"/>
          <w:sz w:val="19"/>
          <w:szCs w:val="19"/>
        </w:rPr>
        <w:t xml:space="preserve">2026–2027 Inductee, Marquis Who’s Who in America</w:t>
      </w:r>
    </w:p>
    <w:p>
      <w:pPr>
        <w:pStyle w:val="ListParagraph"/>
        <w:numPr>
          <w:ilvl w:val="0"/>
          <w:numId w:val="2"/>
        </w:numPr>
        <w:spacing w:after="60"/>
      </w:pPr>
      <w:r>
        <w:rPr>
          <w:rFonts w:ascii="Arial" w:cs="Arial" w:eastAsia="Arial" w:hAnsi="Arial"/>
          <w:color w:val="1A1A1A"/>
          <w:sz w:val="19"/>
          <w:szCs w:val="19"/>
        </w:rPr>
        <w:t xml:space="preserve">2016–2017 Inductee, VIP Woman of the Year Circle — National Association of Professional Women</w:t>
      </w:r>
    </w:p>
    <w:p>
      <w:pPr>
        <w:pStyle w:val="ListParagraph"/>
        <w:numPr>
          <w:ilvl w:val="0"/>
          <w:numId w:val="2"/>
        </w:numPr>
        <w:spacing w:after="60"/>
      </w:pPr>
      <w:r>
        <w:rPr>
          <w:rFonts w:ascii="Arial" w:cs="Arial" w:eastAsia="Arial" w:hAnsi="Arial"/>
          <w:color w:val="1A1A1A"/>
          <w:sz w:val="19"/>
          <w:szCs w:val="19"/>
        </w:rPr>
        <w:t xml:space="preserve">University of Vermont Technology Award (April 1998)</w:t>
      </w:r>
    </w:p>
    <w:p>
      <w:pPr>
        <w:pBdr>
          <w:bottom w:val="single" w:color="1F5C99" w:sz="4" w:space="2"/>
        </w:pBdr>
        <w:spacing w:before="200" w:after="80"/>
      </w:pPr>
      <w:r>
        <w:rPr>
          <w:rFonts w:ascii="Arial" w:cs="Arial" w:eastAsia="Arial" w:hAnsi="Arial"/>
          <w:b/>
          <w:bCs/>
          <w:color w:val="1F5C99"/>
          <w:sz w:val="22"/>
          <w:szCs w:val="22"/>
        </w:rPr>
        <w:t xml:space="preserve">EDUCATION &amp; PROFESSIONAL DEVELOPMENT</w:t>
      </w:r>
    </w:p>
    <w:p>
      <w:pPr>
        <w:spacing w:after="80"/>
      </w:pPr>
      <w:r>
        <w:rPr>
          <w:rFonts w:ascii="Arial" w:cs="Arial" w:eastAsia="Arial" w:hAnsi="Arial"/>
          <w:b/>
          <w:bCs/>
          <w:i w:val="false"/>
          <w:iCs w:val="false"/>
          <w:color w:val="1A1A1A"/>
          <w:sz w:val="20"/>
          <w:szCs w:val="20"/>
        </w:rPr>
        <w:t xml:space="preserve">Candidate, Post-Graduate Certificate — Generative AI for Business Applications  |  UT Austin</w:t>
      </w:r>
    </w:p>
    <w:p>
      <w:pPr>
        <w:spacing w:after="80"/>
      </w:pPr>
      <w:r>
        <w:rPr>
          <w:rFonts w:ascii="Arial" w:cs="Arial" w:eastAsia="Arial" w:hAnsi="Arial"/>
          <w:b/>
          <w:bCs/>
          <w:i w:val="false"/>
          <w:iCs w:val="false"/>
          <w:color w:val="1A1A1A"/>
          <w:sz w:val="20"/>
          <w:szCs w:val="20"/>
        </w:rPr>
        <w:t xml:space="preserve">Executive MBA  |  Southern Methodist University (SMU), Dallas, TX</w:t>
      </w:r>
    </w:p>
    <w:p>
      <w:pPr>
        <w:spacing w:after="80"/>
      </w:pPr>
      <w:r>
        <w:rPr>
          <w:rFonts w:ascii="Arial" w:cs="Arial" w:eastAsia="Arial" w:hAnsi="Arial"/>
          <w:b w:val="false"/>
          <w:bCs w:val="false"/>
          <w:i w:val="false"/>
          <w:iCs w:val="false"/>
          <w:color w:val="1A1A1A"/>
          <w:sz w:val="20"/>
          <w:szCs w:val="20"/>
        </w:rPr>
        <w:t xml:space="preserve">Prosci® Certified Change Practitioner  |  Prosci, Fort Collins, CO (Nov 2024)</w:t>
      </w:r>
    </w:p>
    <w:p>
      <w:pPr>
        <w:spacing w:after="80"/>
      </w:pPr>
      <w:r>
        <w:rPr>
          <w:rFonts w:ascii="Arial" w:cs="Arial" w:eastAsia="Arial" w:hAnsi="Arial"/>
          <w:b w:val="false"/>
          <w:bCs w:val="false"/>
          <w:i w:val="false"/>
          <w:iCs w:val="false"/>
          <w:color w:val="1A1A1A"/>
          <w:sz w:val="20"/>
          <w:szCs w:val="20"/>
        </w:rPr>
        <w:t xml:space="preserve">Artificial Intelligence: Implications for Business Strategy  |  MIT, Cambridge, MA (Dec 2023)</w:t>
      </w:r>
    </w:p>
    <w:p>
      <w:pPr>
        <w:spacing w:after="80"/>
      </w:pPr>
      <w:r>
        <w:rPr>
          <w:rFonts w:ascii="Arial" w:cs="Arial" w:eastAsia="Arial" w:hAnsi="Arial"/>
          <w:b w:val="false"/>
          <w:bCs w:val="false"/>
          <w:i w:val="false"/>
          <w:iCs w:val="false"/>
          <w:color w:val="1A1A1A"/>
          <w:sz w:val="20"/>
          <w:szCs w:val="20"/>
        </w:rPr>
        <w:t xml:space="preserve">Innovation in Medical Technology  |  MIT, Cambridge, MA (Mar 2022)</w:t>
      </w:r>
    </w:p>
    <w:p>
      <w:pPr>
        <w:spacing w:after="80"/>
      </w:pPr>
      <w:r>
        <w:rPr>
          <w:rFonts w:ascii="Arial" w:cs="Arial" w:eastAsia="Arial" w:hAnsi="Arial"/>
          <w:b w:val="false"/>
          <w:bCs w:val="false"/>
          <w:i w:val="false"/>
          <w:iCs w:val="false"/>
          <w:color w:val="1A1A1A"/>
          <w:sz w:val="20"/>
          <w:szCs w:val="20"/>
        </w:rPr>
        <w:t xml:space="preserve">Data Processing / Information Systems, A.S.  |  Champlain College, Burlington, VT</w:t>
      </w:r>
    </w:p>
    <w:p>
      <w:pPr>
        <w:pBdr>
          <w:bottom w:val="single" w:color="1F5C99" w:sz="4" w:space="2"/>
        </w:pBdr>
        <w:spacing w:before="200" w:after="80"/>
      </w:pPr>
      <w:r>
        <w:rPr>
          <w:rFonts w:ascii="Arial" w:cs="Arial" w:eastAsia="Arial" w:hAnsi="Arial"/>
          <w:b/>
          <w:bCs/>
          <w:color w:val="1F5C99"/>
          <w:sz w:val="22"/>
          <w:szCs w:val="22"/>
        </w:rPr>
        <w:t xml:space="preserve">EXPERT NETWORK &amp; ADVISORY AFFILIATIONS</w:t>
      </w:r>
    </w:p>
    <w:p>
      <w:pPr>
        <w:pStyle w:val="ListParagraph"/>
        <w:numPr>
          <w:ilvl w:val="0"/>
          <w:numId w:val="2"/>
        </w:numPr>
        <w:spacing w:after="60"/>
      </w:pPr>
      <w:r>
        <w:rPr>
          <w:rFonts w:ascii="Arial" w:cs="Arial" w:eastAsia="Arial" w:hAnsi="Arial"/>
          <w:color w:val="1A1A1A"/>
          <w:sz w:val="19"/>
          <w:szCs w:val="19"/>
        </w:rPr>
        <w:t xml:space="preserve">SEAK Expert Witness Directory (2026–present) — Independent expert witness in IT, specializing in ERP service recovery and failed implementations  |  seakexperts.com/members/21747-bernadette-a-gratton</w:t>
      </w:r>
    </w:p>
    <w:p>
      <w:pPr>
        <w:pStyle w:val="ListParagraph"/>
        <w:numPr>
          <w:ilvl w:val="0"/>
          <w:numId w:val="2"/>
        </w:numPr>
        <w:spacing w:after="60"/>
      </w:pPr>
      <w:r>
        <w:rPr>
          <w:rFonts w:ascii="Arial" w:cs="Arial" w:eastAsia="Arial" w:hAnsi="Arial"/>
          <w:color w:val="1A1A1A"/>
          <w:sz w:val="19"/>
          <w:szCs w:val="19"/>
        </w:rPr>
        <w:t xml:space="preserve">Third Bridge Network (Feb 2020–present) — Global expert network connecting business leaders and investors with subject matter experts</w:t>
      </w:r>
    </w:p>
    <w:p>
      <w:pPr>
        <w:pStyle w:val="ListParagraph"/>
        <w:numPr>
          <w:ilvl w:val="0"/>
          <w:numId w:val="2"/>
        </w:numPr>
        <w:spacing w:after="60"/>
      </w:pPr>
      <w:r>
        <w:rPr>
          <w:rFonts w:ascii="Arial" w:cs="Arial" w:eastAsia="Arial" w:hAnsi="Arial"/>
          <w:color w:val="1A1A1A"/>
          <w:sz w:val="19"/>
          <w:szCs w:val="19"/>
        </w:rPr>
        <w:t xml:space="preserve">Guidepoint Consulting (Jul 2019–present) — Client advisory network connecting subject matter experts across industries</w:t>
      </w:r>
    </w:p>
    <w:p>
      <w:pPr>
        <w:pStyle w:val="ListParagraph"/>
        <w:numPr>
          <w:ilvl w:val="0"/>
          <w:numId w:val="2"/>
        </w:numPr>
        <w:spacing w:after="60"/>
      </w:pPr>
      <w:r>
        <w:rPr>
          <w:rFonts w:ascii="Arial" w:cs="Arial" w:eastAsia="Arial" w:hAnsi="Arial"/>
          <w:color w:val="1A1A1A"/>
          <w:sz w:val="19"/>
          <w:szCs w:val="19"/>
        </w:rPr>
        <w:t xml:space="preserve">Emissary &amp; Exchange (Apr 2019–present) — Human intelligence network connecting enterprise professionals with senior and C-level executive advisors</w:t>
      </w:r>
    </w:p>
    <w:p>
      <w:pPr>
        <w:pBdr>
          <w:bottom w:val="single" w:color="1F5C99" w:sz="4" w:space="2"/>
        </w:pBdr>
        <w:spacing w:before="200" w:after="80"/>
      </w:pPr>
      <w:r>
        <w:rPr>
          <w:rFonts w:ascii="Arial" w:cs="Arial" w:eastAsia="Arial" w:hAnsi="Arial"/>
          <w:b/>
          <w:bCs/>
          <w:color w:val="1F5C99"/>
          <w:sz w:val="22"/>
          <w:szCs w:val="22"/>
        </w:rPr>
        <w:t xml:space="preserve">PROFESSIONAL MEMBERSHIPS</w:t>
      </w:r>
    </w:p>
    <w:p>
      <w:pPr>
        <w:pStyle w:val="ListParagraph"/>
        <w:numPr>
          <w:ilvl w:val="0"/>
          <w:numId w:val="2"/>
        </w:numPr>
        <w:spacing w:after="60"/>
      </w:pPr>
      <w:r>
        <w:rPr>
          <w:rFonts w:ascii="Arial" w:cs="Arial" w:eastAsia="Arial" w:hAnsi="Arial"/>
          <w:color w:val="1A1A1A"/>
          <w:sz w:val="19"/>
          <w:szCs w:val="19"/>
        </w:rPr>
        <w:t xml:space="preserve">National Association of Professional Women (Nov 2016–present)</w:t>
      </w:r>
    </w:p>
    <w:p>
      <w:pPr>
        <w:pStyle w:val="ListParagraph"/>
        <w:numPr>
          <w:ilvl w:val="0"/>
          <w:numId w:val="2"/>
        </w:numPr>
        <w:spacing w:after="60"/>
      </w:pPr>
      <w:r>
        <w:rPr>
          <w:rFonts w:ascii="Arial" w:cs="Arial" w:eastAsia="Arial" w:hAnsi="Arial"/>
          <w:color w:val="1A1A1A"/>
          <w:sz w:val="19"/>
          <w:szCs w:val="19"/>
        </w:rPr>
        <w:t xml:space="preserve">Dallas Alliance of Technology &amp; Women (2022–present)</w:t>
      </w:r>
    </w:p>
    <w:p>
      <w:pPr>
        <w:pBdr>
          <w:bottom w:val="single" w:color="1F5C99" w:sz="4" w:space="2"/>
        </w:pBdr>
        <w:spacing w:before="200" w:after="80"/>
      </w:pPr>
      <w:r>
        <w:rPr>
          <w:rFonts w:ascii="Arial" w:cs="Arial" w:eastAsia="Arial" w:hAnsi="Arial"/>
          <w:b/>
          <w:bCs/>
          <w:color w:val="1F5C99"/>
          <w:sz w:val="22"/>
          <w:szCs w:val="22"/>
        </w:rPr>
        <w:t xml:space="preserve">PROFESSIONAL ENDORSEMENTS</w:t>
      </w:r>
    </w:p>
    <w:p>
      <w:pPr>
        <w:pBdr>
          <w:left w:val="thick" w:color="1F5C99" w:sz="12" w:space="8"/>
        </w:pBdr>
        <w:spacing w:after="100"/>
        <w:ind w:left="280"/>
      </w:pPr>
      <w:r>
        <w:rPr>
          <w:rFonts w:ascii="Arial" w:cs="Arial" w:eastAsia="Arial" w:hAnsi="Arial"/>
          <w:i/>
          <w:iCs/>
          <w:color w:val="444444"/>
          <w:sz w:val="19"/>
          <w:szCs w:val="19"/>
        </w:rPr>
        <w:t xml:space="preserve">“Bernadette is a well-respected, collaborative partner who holds herself and others accountable, gives her best, and consistently delivers results that exceed expectations. Her professionalism, integrity, and poise under pressure are second to none.”  — Mark M., EVP and COO</w:t>
      </w:r>
    </w:p>
    <w:p>
      <w:pPr>
        <w:spacing w:after="80"/>
      </w:pPr>
    </w:p>
    <w:p>
      <w:pPr>
        <w:pBdr>
          <w:left w:val="thick" w:color="1F5C99" w:sz="12" w:space="8"/>
        </w:pBdr>
        <w:spacing w:after="100"/>
        <w:ind w:left="280"/>
      </w:pPr>
      <w:r>
        <w:rPr>
          <w:rFonts w:ascii="Arial" w:cs="Arial" w:eastAsia="Arial" w:hAnsi="Arial"/>
          <w:i/>
          <w:iCs/>
          <w:color w:val="444444"/>
          <w:sz w:val="19"/>
          <w:szCs w:val="19"/>
        </w:rPr>
        <w:t xml:space="preserve">“Bernadette is an amazing professional — smart, go-getter, can solve the toughest tech problems while building rapport with C-Suite executives with ease. She always goes above and beyond in leading tech talent, driving innovation, and influencing how tech will enable strategic business &amp; educational goals.”  — Jaime C., Technical Executive</w:t>
      </w:r>
    </w:p>
    <w:sectPr>
      <w:pgSz w:w="12240" w:h="15840" w:orient="portrait"/>
      <w:pgMar w:top="1080" w:right="1260" w:bottom="1080" w:left="126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60" w:hanging="28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mkctum14xpdprg1q-vdrd" Type="http://schemas.openxmlformats.org/officeDocument/2006/relationships/hyperlink" Target="https://linkedin.com/in/bernadettegratton" TargetMode="External"/><Relationship Id="rIdlbjdi6hzesozecx8yk_ke" Type="http://schemas.openxmlformats.org/officeDocument/2006/relationships/hyperlink" Target="https://www.seakexperts.com/members/21747-bernadette-a-gratton" TargetMode="Externa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2026-03-21T22:13:54.463Z</dcterms:created>
  <dcterms:modified xsi:type="dcterms:W3CDTF">2026-03-21T22:13:54.464Z</dcterms:modified>
</cp:coreProperties>
</file>

<file path=docProps/custom.xml><?xml version="1.0" encoding="utf-8"?>
<Properties xmlns="http://schemas.openxmlformats.org/officeDocument/2006/custom-properties" xmlns:vt="http://schemas.openxmlformats.org/officeDocument/2006/docPropsVTypes"/>
</file>