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7E5D2A" w:rsidRPr="00B6594D" w14:paraId="5503AD60" w14:textId="77777777" w:rsidTr="008D7D5C">
        <w:tc>
          <w:tcPr>
            <w:tcW w:w="5395" w:type="dxa"/>
          </w:tcPr>
          <w:p w14:paraId="0649451B" w14:textId="6A3017DA" w:rsidR="007E5D2A" w:rsidRDefault="00463441" w:rsidP="00B6594D">
            <w:pPr>
              <w:pStyle w:val="Title"/>
              <w:rPr>
                <w:color w:val="294433"/>
              </w:rPr>
            </w:pPr>
            <w:r>
              <w:rPr>
                <w:color w:val="294433"/>
              </w:rPr>
              <w:t>Darrin Mangiacarne</w:t>
            </w:r>
          </w:p>
          <w:p w14:paraId="687C9F86" w14:textId="1000C4B4" w:rsidR="00463441" w:rsidRPr="00463441" w:rsidRDefault="00463441" w:rsidP="00463441">
            <w:pPr>
              <w:spacing w:before="120"/>
              <w:rPr>
                <w:rFonts w:ascii="Century" w:hAnsi="Century" w:cs="Arial"/>
                <w:color w:val="294433"/>
                <w:sz w:val="24"/>
                <w:szCs w:val="24"/>
              </w:rPr>
            </w:pPr>
            <w:r w:rsidRPr="00463441">
              <w:rPr>
                <w:rFonts w:ascii="Century" w:hAnsi="Century" w:cs="Arial"/>
                <w:color w:val="294433"/>
                <w:sz w:val="24"/>
                <w:szCs w:val="24"/>
              </w:rPr>
              <w:t>DO, MPH, CPE, DFASAM, FAOAAM</w:t>
            </w:r>
          </w:p>
          <w:p w14:paraId="43ECDF32" w14:textId="1B23A94B" w:rsidR="001A55C1" w:rsidRPr="001A55C1" w:rsidRDefault="001A55C1" w:rsidP="001A55C1">
            <w:pPr>
              <w:pStyle w:val="Subtitle"/>
              <w:rPr>
                <w:rFonts w:ascii="Franklin Gothic Book" w:hAnsi="Franklin Gothic Book"/>
                <w:color w:val="294433"/>
              </w:rPr>
            </w:pPr>
          </w:p>
        </w:tc>
        <w:tc>
          <w:tcPr>
            <w:tcW w:w="5395" w:type="dxa"/>
          </w:tcPr>
          <w:p w14:paraId="713B5874" w14:textId="0A387D43" w:rsidR="007E5D2A" w:rsidRPr="00EE2AC3" w:rsidRDefault="00463441" w:rsidP="00B6594D">
            <w:pPr>
              <w:pStyle w:val="ContactInfo"/>
              <w:rPr>
                <w:color w:val="294433"/>
              </w:rPr>
            </w:pPr>
            <w:r>
              <w:rPr>
                <w:color w:val="294433"/>
              </w:rPr>
              <w:t>docda</w:t>
            </w:r>
            <w:r w:rsidR="00FF6F14">
              <w:rPr>
                <w:color w:val="294433"/>
              </w:rPr>
              <w:t>r</w:t>
            </w:r>
            <w:r>
              <w:rPr>
                <w:color w:val="294433"/>
              </w:rPr>
              <w:t>rin</w:t>
            </w:r>
            <w:r w:rsidR="007E5D2A" w:rsidRPr="00EE2AC3">
              <w:rPr>
                <w:color w:val="294433"/>
              </w:rPr>
              <w:t>@</w:t>
            </w:r>
            <w:r>
              <w:rPr>
                <w:color w:val="294433"/>
              </w:rPr>
              <w:t>icloud</w:t>
            </w:r>
            <w:r w:rsidR="007E5D2A" w:rsidRPr="00EE2AC3">
              <w:rPr>
                <w:color w:val="294433"/>
              </w:rPr>
              <w:t>.com • (</w:t>
            </w:r>
            <w:r>
              <w:rPr>
                <w:color w:val="294433"/>
              </w:rPr>
              <w:t>610</w:t>
            </w:r>
            <w:r w:rsidR="007E5D2A" w:rsidRPr="00EE2AC3">
              <w:rPr>
                <w:color w:val="294433"/>
              </w:rPr>
              <w:t xml:space="preserve">) </w:t>
            </w:r>
            <w:r>
              <w:rPr>
                <w:color w:val="294433"/>
              </w:rPr>
              <w:t>295</w:t>
            </w:r>
            <w:r w:rsidR="007E5D2A" w:rsidRPr="00EE2AC3">
              <w:rPr>
                <w:color w:val="294433"/>
              </w:rPr>
              <w:t>-</w:t>
            </w:r>
            <w:r>
              <w:rPr>
                <w:color w:val="294433"/>
              </w:rPr>
              <w:t>3961</w:t>
            </w:r>
          </w:p>
          <w:p w14:paraId="0CBD4B70" w14:textId="2467B3DF" w:rsidR="007E5D2A" w:rsidRPr="00B6594D" w:rsidRDefault="00463441" w:rsidP="00B6594D">
            <w:pPr>
              <w:pStyle w:val="ContactInfo"/>
              <w:rPr>
                <w:rFonts w:ascii="Century" w:hAnsi="Century"/>
              </w:rPr>
            </w:pPr>
            <w:hyperlink r:id="rId8" w:history="1">
              <w:r w:rsidRPr="008975A4">
                <w:rPr>
                  <w:rStyle w:val="Hyperlink"/>
                </w:rPr>
                <w:t>LinkedIn</w:t>
              </w:r>
            </w:hyperlink>
            <w:r w:rsidR="007E5D2A" w:rsidRPr="00EE2AC3">
              <w:rPr>
                <w:color w:val="294433"/>
              </w:rPr>
              <w:t xml:space="preserve"> • </w:t>
            </w:r>
            <w:r w:rsidR="005C0050">
              <w:rPr>
                <w:color w:val="294433"/>
              </w:rPr>
              <w:t>Fishers</w:t>
            </w:r>
            <w:r>
              <w:rPr>
                <w:color w:val="294433"/>
              </w:rPr>
              <w:t>, IN</w:t>
            </w:r>
          </w:p>
        </w:tc>
      </w:tr>
    </w:tbl>
    <w:p w14:paraId="422258A5" w14:textId="67219380" w:rsidR="001A55C1" w:rsidRPr="001065C6" w:rsidRDefault="00463441" w:rsidP="001A55C1">
      <w:pPr>
        <w:pStyle w:val="SectionHeading"/>
        <w:spacing w:before="0"/>
        <w:rPr>
          <w:color w:val="294433"/>
        </w:rPr>
      </w:pPr>
      <w:r>
        <w:rPr>
          <w:color w:val="294433"/>
        </w:rPr>
        <w:t>Chief Medical Officer</w:t>
      </w:r>
    </w:p>
    <w:p w14:paraId="091F23BB" w14:textId="58767AF6" w:rsidR="007E5D2A" w:rsidRPr="001A55C1" w:rsidRDefault="00FD1ADC" w:rsidP="001A55C1">
      <w:pPr>
        <w:pStyle w:val="Summary"/>
        <w:spacing w:after="240"/>
        <w:rPr>
          <w:b/>
          <w:bCs/>
          <w:color w:val="294433"/>
        </w:rPr>
      </w:pPr>
      <w:r w:rsidRPr="00FD1ADC">
        <w:rPr>
          <w:b/>
          <w:bCs/>
          <w:color w:val="294433"/>
        </w:rPr>
        <w:t xml:space="preserve">Accomplished and visionary </w:t>
      </w:r>
      <w:r w:rsidR="00B14A49">
        <w:rPr>
          <w:b/>
          <w:bCs/>
          <w:color w:val="294433"/>
        </w:rPr>
        <w:t>physician-executive</w:t>
      </w:r>
      <w:r w:rsidRPr="00FD1ADC">
        <w:rPr>
          <w:b/>
          <w:bCs/>
          <w:color w:val="294433"/>
        </w:rPr>
        <w:t xml:space="preserve"> with</w:t>
      </w:r>
      <w:r w:rsidR="003F0584">
        <w:rPr>
          <w:b/>
          <w:bCs/>
          <w:color w:val="294433"/>
        </w:rPr>
        <w:t xml:space="preserve"> </w:t>
      </w:r>
      <w:r>
        <w:rPr>
          <w:b/>
          <w:bCs/>
          <w:color w:val="294433"/>
        </w:rPr>
        <w:t xml:space="preserve">15+ years </w:t>
      </w:r>
      <w:r w:rsidR="00B14A49">
        <w:rPr>
          <w:b/>
          <w:bCs/>
          <w:color w:val="294433"/>
        </w:rPr>
        <w:t>leading multi-site addiction medicine and behavioral health operations.  Proven expertise in clinical strategy, program design/launch/optimization, quality outcomes frameworks, MAT integration, payer contracting, and population health approaches.</w:t>
      </w:r>
      <w:r>
        <w:rPr>
          <w:b/>
          <w:bCs/>
          <w:color w:val="294433"/>
        </w:rPr>
        <w:t xml:space="preserve"> </w:t>
      </w:r>
      <w:r w:rsidR="00B14A49">
        <w:rPr>
          <w:b/>
          <w:bCs/>
          <w:color w:val="294433"/>
        </w:rPr>
        <w:t xml:space="preserve"> National thought leader ready to advise organizations on scaling evidence-based addiction services and achieving operational excellence.</w:t>
      </w:r>
    </w:p>
    <w:p w14:paraId="0AAA66F9" w14:textId="3EF86D89" w:rsidR="007E5D2A" w:rsidRDefault="00E06759" w:rsidP="00B6594D">
      <w:pPr>
        <w:pStyle w:val="Summary"/>
        <w:rPr>
          <w:color w:val="294433"/>
        </w:rPr>
      </w:pPr>
      <w:r>
        <w:rPr>
          <w:color w:val="294433"/>
        </w:rPr>
        <w:t>Data-driven and solution-oriented</w:t>
      </w:r>
      <w:r w:rsidR="00FD1ADC" w:rsidRPr="00FD1ADC">
        <w:rPr>
          <w:color w:val="294433"/>
        </w:rPr>
        <w:t xml:space="preserve"> professional </w:t>
      </w:r>
      <w:r w:rsidR="003F0584">
        <w:rPr>
          <w:color w:val="294433"/>
        </w:rPr>
        <w:t>adept</w:t>
      </w:r>
      <w:r w:rsidR="00FD1ADC">
        <w:rPr>
          <w:color w:val="294433"/>
        </w:rPr>
        <w:t xml:space="preserve"> at formulating strategies that drive excellence in medical service delivery. </w:t>
      </w:r>
      <w:r w:rsidR="00FD1ADC" w:rsidRPr="00FD1ADC">
        <w:rPr>
          <w:color w:val="294433"/>
        </w:rPr>
        <w:t>Proficient in</w:t>
      </w:r>
      <w:r w:rsidR="003F0584">
        <w:rPr>
          <w:color w:val="294433"/>
        </w:rPr>
        <w:t xml:space="preserve"> leveraging NCQA standards</w:t>
      </w:r>
      <w:r w:rsidR="00FD1ADC" w:rsidRPr="00FD1ADC">
        <w:rPr>
          <w:color w:val="294433"/>
        </w:rPr>
        <w:t xml:space="preserve"> </w:t>
      </w:r>
      <w:r w:rsidR="003F0584">
        <w:rPr>
          <w:color w:val="294433"/>
        </w:rPr>
        <w:t xml:space="preserve">to </w:t>
      </w:r>
      <w:r>
        <w:rPr>
          <w:color w:val="294433"/>
        </w:rPr>
        <w:t>identify and rectify process gaps and underperforming metrics</w:t>
      </w:r>
      <w:r w:rsidR="003F0584">
        <w:rPr>
          <w:color w:val="294433"/>
        </w:rPr>
        <w:t>. Skilled at</w:t>
      </w:r>
      <w:r>
        <w:rPr>
          <w:color w:val="294433"/>
        </w:rPr>
        <w:t xml:space="preserve"> </w:t>
      </w:r>
      <w:r w:rsidR="00FD1ADC" w:rsidRPr="00FD1ADC">
        <w:rPr>
          <w:color w:val="294433"/>
        </w:rPr>
        <w:t xml:space="preserve">developing and implementing healthcare policies, ensuring regulatory compliance, </w:t>
      </w:r>
      <w:r>
        <w:rPr>
          <w:color w:val="294433"/>
        </w:rPr>
        <w:t>as well as</w:t>
      </w:r>
      <w:r w:rsidR="00FD1ADC" w:rsidRPr="00FD1ADC">
        <w:rPr>
          <w:color w:val="294433"/>
        </w:rPr>
        <w:t xml:space="preserve"> optimizing cost-effective solutions. </w:t>
      </w:r>
      <w:r w:rsidR="00FD1ADC">
        <w:rPr>
          <w:color w:val="294433"/>
        </w:rPr>
        <w:t>Well-versed with</w:t>
      </w:r>
      <w:r w:rsidR="008D35C1">
        <w:rPr>
          <w:color w:val="294433"/>
        </w:rPr>
        <w:t xml:space="preserve"> ASAM patient placement criteria</w:t>
      </w:r>
      <w:r w:rsidR="00FD1ADC">
        <w:rPr>
          <w:color w:val="294433"/>
        </w:rPr>
        <w:t>,</w:t>
      </w:r>
      <w:r w:rsidR="003453DB">
        <w:rPr>
          <w:color w:val="294433"/>
        </w:rPr>
        <w:t xml:space="preserve"> HEDIS,</w:t>
      </w:r>
      <w:r w:rsidR="00FD1ADC">
        <w:rPr>
          <w:color w:val="294433"/>
        </w:rPr>
        <w:t xml:space="preserve"> </w:t>
      </w:r>
      <w:r w:rsidR="003F0584">
        <w:rPr>
          <w:color w:val="294433"/>
        </w:rPr>
        <w:t xml:space="preserve">CARF </w:t>
      </w:r>
      <w:r w:rsidR="00FD1ADC">
        <w:rPr>
          <w:color w:val="294433"/>
        </w:rPr>
        <w:t xml:space="preserve">and state and federal guidelines. </w:t>
      </w:r>
      <w:r w:rsidR="00FD1ADC" w:rsidRPr="00FD1ADC">
        <w:rPr>
          <w:color w:val="294433"/>
        </w:rPr>
        <w:t>Focused on patient safety, satisfaction, and improved outcomes.</w:t>
      </w:r>
      <w:r w:rsidR="00FD1ADC">
        <w:rPr>
          <w:color w:val="294433"/>
        </w:rPr>
        <w:t xml:space="preserve"> Exceptional leadership skills to build and mentor high-performance teams and ensure seamless cross-functional coordination.</w:t>
      </w:r>
      <w:r w:rsidR="00FD1ADC" w:rsidRPr="00FD1ADC">
        <w:rPr>
          <w:color w:val="294433"/>
        </w:rPr>
        <w:t xml:space="preserve"> Skilled at </w:t>
      </w:r>
      <w:r w:rsidR="008D35C1">
        <w:rPr>
          <w:color w:val="294433"/>
        </w:rPr>
        <w:t>overseeing</w:t>
      </w:r>
      <w:r w:rsidR="00B15E18">
        <w:rPr>
          <w:color w:val="294433"/>
        </w:rPr>
        <w:t xml:space="preserve"> </w:t>
      </w:r>
      <w:r w:rsidR="008D35C1">
        <w:rPr>
          <w:color w:val="294433"/>
        </w:rPr>
        <w:t xml:space="preserve">compliance with </w:t>
      </w:r>
      <w:r w:rsidR="00B15E18">
        <w:rPr>
          <w:color w:val="294433"/>
        </w:rPr>
        <w:t>Joint Commission</w:t>
      </w:r>
      <w:r w:rsidR="008D35C1">
        <w:rPr>
          <w:color w:val="294433"/>
        </w:rPr>
        <w:t xml:space="preserve"> regulations</w:t>
      </w:r>
      <w:r w:rsidR="00FD1ADC" w:rsidRPr="00FD1ADC">
        <w:rPr>
          <w:color w:val="294433"/>
        </w:rPr>
        <w:t xml:space="preserve">. Committed to staying at the forefront of medical advancements and </w:t>
      </w:r>
      <w:r w:rsidR="00FD1ADC">
        <w:rPr>
          <w:color w:val="294433"/>
        </w:rPr>
        <w:t>steering</w:t>
      </w:r>
      <w:r w:rsidR="00FD1ADC" w:rsidRPr="00FD1ADC">
        <w:rPr>
          <w:color w:val="294433"/>
        </w:rPr>
        <w:t xml:space="preserve"> positive change in healthcare.</w:t>
      </w:r>
    </w:p>
    <w:p w14:paraId="463D0E1D" w14:textId="7D4B39DB" w:rsidR="007E5D2A" w:rsidRPr="00EE2AC3" w:rsidRDefault="007E5D2A" w:rsidP="00D31B3F">
      <w:pPr>
        <w:pStyle w:val="SectionHeading"/>
        <w:rPr>
          <w:color w:val="294433"/>
        </w:rPr>
      </w:pPr>
      <w:r w:rsidRPr="00EE2AC3">
        <w:rPr>
          <w:color w:val="294433"/>
        </w:rPr>
        <w:t>Areas of Expertise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7E5D2A" w:rsidRPr="00B6594D" w14:paraId="5362C7A0" w14:textId="77777777" w:rsidTr="008D7D5C">
        <w:trPr>
          <w:trHeight w:val="522"/>
        </w:trPr>
        <w:tc>
          <w:tcPr>
            <w:tcW w:w="3596" w:type="dxa"/>
          </w:tcPr>
          <w:p w14:paraId="0FE3D991" w14:textId="51B957BC" w:rsidR="003A7615" w:rsidRDefault="003A7615" w:rsidP="00B6594D">
            <w:pPr>
              <w:pStyle w:val="AoEBullet"/>
            </w:pPr>
            <w:r>
              <w:t>Multi-State Addiction Medicine Leadership</w:t>
            </w:r>
          </w:p>
          <w:p w14:paraId="2F533618" w14:textId="4650413F" w:rsidR="007E5D2A" w:rsidRPr="00B6594D" w:rsidRDefault="00FD1ADC" w:rsidP="00B6594D">
            <w:pPr>
              <w:pStyle w:val="AoEBullet"/>
            </w:pPr>
            <w:r>
              <w:t>Healthcare Administration</w:t>
            </w:r>
          </w:p>
          <w:p w14:paraId="5E258026" w14:textId="77777777" w:rsidR="00FD1ADC" w:rsidRDefault="00FD1ADC" w:rsidP="00EE2AC3">
            <w:pPr>
              <w:pStyle w:val="AoEBullet"/>
            </w:pPr>
            <w:r>
              <w:t>Operations Management</w:t>
            </w:r>
          </w:p>
          <w:p w14:paraId="0A2CD077" w14:textId="1888B836" w:rsidR="00EE2AC3" w:rsidRPr="00B6594D" w:rsidRDefault="00FD1ADC" w:rsidP="00EE2AC3">
            <w:pPr>
              <w:pStyle w:val="AoEBullet"/>
            </w:pPr>
            <w:r>
              <w:t>Patient Care &amp; Advocacy</w:t>
            </w:r>
            <w:r w:rsidR="00EE2AC3">
              <w:t xml:space="preserve"> </w:t>
            </w:r>
          </w:p>
          <w:p w14:paraId="3F2A52ED" w14:textId="70C88874" w:rsidR="007E5D2A" w:rsidRPr="00B6594D" w:rsidRDefault="003A7615" w:rsidP="00B6594D">
            <w:pPr>
              <w:pStyle w:val="AoEBullet"/>
            </w:pPr>
            <w:r>
              <w:t>MAT Integration and Evidence Based Care</w:t>
            </w:r>
          </w:p>
        </w:tc>
        <w:tc>
          <w:tcPr>
            <w:tcW w:w="3597" w:type="dxa"/>
          </w:tcPr>
          <w:p w14:paraId="55BC3400" w14:textId="75837C98" w:rsidR="007E5D2A" w:rsidRPr="00B6594D" w:rsidRDefault="003A7615" w:rsidP="00B6594D">
            <w:pPr>
              <w:pStyle w:val="AoEBullet"/>
            </w:pPr>
            <w:r>
              <w:t xml:space="preserve">Clinical </w:t>
            </w:r>
            <w:r w:rsidR="00E06759">
              <w:t>Protocol &amp; Policy</w:t>
            </w:r>
            <w:r w:rsidR="00FD1ADC">
              <w:t xml:space="preserve"> Development</w:t>
            </w:r>
          </w:p>
          <w:p w14:paraId="20B5AFE7" w14:textId="3221AE1C" w:rsidR="00EE2AC3" w:rsidRPr="00B6594D" w:rsidRDefault="00FD1ADC" w:rsidP="00EE2AC3">
            <w:pPr>
              <w:pStyle w:val="AoEBullet"/>
            </w:pPr>
            <w:r>
              <w:t>Cost &amp; Budget Optimization</w:t>
            </w:r>
          </w:p>
          <w:p w14:paraId="35D59FF8" w14:textId="77777777" w:rsidR="007E5D2A" w:rsidRDefault="00FD1ADC" w:rsidP="00B6594D">
            <w:pPr>
              <w:pStyle w:val="AoEBullet"/>
            </w:pPr>
            <w:r>
              <w:t>Change Management</w:t>
            </w:r>
            <w:r w:rsidR="00EE2AC3">
              <w:t xml:space="preserve"> </w:t>
            </w:r>
          </w:p>
          <w:p w14:paraId="0631CA42" w14:textId="77777777" w:rsidR="00E06759" w:rsidRDefault="00E06759" w:rsidP="00B6594D">
            <w:pPr>
              <w:pStyle w:val="AoEBullet"/>
            </w:pPr>
            <w:r>
              <w:t>Risk Mitigation &amp; Contingency</w:t>
            </w:r>
          </w:p>
          <w:p w14:paraId="6664B0B5" w14:textId="21DF195E" w:rsidR="003A7615" w:rsidRPr="00B6594D" w:rsidRDefault="003A7615" w:rsidP="00B6594D">
            <w:pPr>
              <w:pStyle w:val="AoEBullet"/>
            </w:pPr>
            <w:r>
              <w:t>Payer Contracting and Utilization Management</w:t>
            </w:r>
          </w:p>
        </w:tc>
        <w:tc>
          <w:tcPr>
            <w:tcW w:w="3597" w:type="dxa"/>
          </w:tcPr>
          <w:p w14:paraId="3FDBF3EF" w14:textId="0456792D" w:rsidR="007E5D2A" w:rsidRPr="00B6594D" w:rsidRDefault="00FD1ADC" w:rsidP="00B6594D">
            <w:pPr>
              <w:pStyle w:val="AoEBullet"/>
            </w:pPr>
            <w:r>
              <w:t>Stakeholder Relations</w:t>
            </w:r>
          </w:p>
          <w:p w14:paraId="7429EC0A" w14:textId="1516B022" w:rsidR="007E5D2A" w:rsidRPr="00B6594D" w:rsidRDefault="00FD1ADC" w:rsidP="00B6594D">
            <w:pPr>
              <w:pStyle w:val="AoEBullet"/>
            </w:pPr>
            <w:r>
              <w:t>Team Building &amp; Leadership</w:t>
            </w:r>
          </w:p>
          <w:p w14:paraId="59E75B25" w14:textId="77777777" w:rsidR="007E5D2A" w:rsidRDefault="00FD1ADC" w:rsidP="00B6594D">
            <w:pPr>
              <w:pStyle w:val="AoEBullet"/>
            </w:pPr>
            <w:r>
              <w:t>Media &amp; Public Relations</w:t>
            </w:r>
          </w:p>
          <w:p w14:paraId="6FEF455F" w14:textId="573F1ADF" w:rsidR="00E06759" w:rsidRDefault="00E06759" w:rsidP="00B6594D">
            <w:pPr>
              <w:pStyle w:val="AoEBullet"/>
            </w:pPr>
            <w:r>
              <w:t>Quality Assurance</w:t>
            </w:r>
            <w:r w:rsidR="003A7615">
              <w:t xml:space="preserve"> and Outcome Metrics</w:t>
            </w:r>
          </w:p>
          <w:p w14:paraId="65B6AADE" w14:textId="1D6F493C" w:rsidR="003A7615" w:rsidRDefault="003A7615" w:rsidP="00B6594D">
            <w:pPr>
              <w:pStyle w:val="AoEBullet"/>
            </w:pPr>
            <w:r>
              <w:t>Strategic Expansion and Revenue Optimization</w:t>
            </w:r>
          </w:p>
          <w:p w14:paraId="07514222" w14:textId="466B16FF" w:rsidR="003A7615" w:rsidRPr="00B6594D" w:rsidRDefault="003A7615" w:rsidP="003A7615">
            <w:pPr>
              <w:pStyle w:val="AoEBullet"/>
              <w:numPr>
                <w:ilvl w:val="0"/>
                <w:numId w:val="0"/>
              </w:numPr>
              <w:ind w:left="255"/>
            </w:pPr>
          </w:p>
        </w:tc>
      </w:tr>
    </w:tbl>
    <w:p w14:paraId="57BD5914" w14:textId="77777777" w:rsidR="007E5D2A" w:rsidRPr="00EE2AC3" w:rsidRDefault="007E5D2A" w:rsidP="00D31B3F">
      <w:pPr>
        <w:pStyle w:val="SectionHeading"/>
        <w:rPr>
          <w:color w:val="294433"/>
        </w:rPr>
      </w:pPr>
      <w:r w:rsidRPr="00EE2AC3">
        <w:rPr>
          <w:color w:val="294433"/>
        </w:rPr>
        <w:t>Career Experience</w:t>
      </w:r>
    </w:p>
    <w:p w14:paraId="160F4ACE" w14:textId="525A39BD" w:rsidR="007E5D2A" w:rsidRPr="00EE2AC3" w:rsidRDefault="00463441" w:rsidP="00B6594D">
      <w:pPr>
        <w:pStyle w:val="CompanyBlock"/>
        <w:rPr>
          <w:color w:val="294433"/>
        </w:rPr>
      </w:pPr>
      <w:r w:rsidRPr="00463441">
        <w:rPr>
          <w:color w:val="294433"/>
        </w:rPr>
        <w:t>Banyan Treatment Centers</w:t>
      </w:r>
      <w:r>
        <w:rPr>
          <w:color w:val="294433"/>
        </w:rPr>
        <w:t xml:space="preserve">, </w:t>
      </w:r>
      <w:r w:rsidRPr="00463441">
        <w:rPr>
          <w:color w:val="294433"/>
        </w:rPr>
        <w:t>Pompano Beach, FL</w:t>
      </w:r>
      <w:r w:rsidR="007E5D2A" w:rsidRPr="00EE2AC3">
        <w:rPr>
          <w:color w:val="294433"/>
        </w:rPr>
        <w:tab/>
      </w:r>
      <w:r>
        <w:rPr>
          <w:color w:val="294433"/>
        </w:rPr>
        <w:t>July 2021</w:t>
      </w:r>
      <w:r w:rsidR="002935FA">
        <w:rPr>
          <w:color w:val="294433"/>
        </w:rPr>
        <w:t xml:space="preserve"> </w:t>
      </w:r>
      <w:r w:rsidR="007E5D2A" w:rsidRPr="00EE2AC3">
        <w:rPr>
          <w:color w:val="294433"/>
        </w:rPr>
        <w:t>– Present</w:t>
      </w:r>
    </w:p>
    <w:p w14:paraId="63B581F2" w14:textId="48852273" w:rsidR="007E5D2A" w:rsidRPr="00D94879" w:rsidRDefault="00463441" w:rsidP="00D94879">
      <w:pPr>
        <w:pStyle w:val="JobTitleBlock"/>
        <w:ind w:left="0"/>
        <w:rPr>
          <w:b w:val="0"/>
          <w:bCs w:val="0"/>
          <w:color w:val="294433"/>
        </w:rPr>
      </w:pPr>
      <w:r>
        <w:rPr>
          <w:b w:val="0"/>
          <w:bCs w:val="0"/>
          <w:color w:val="294433"/>
        </w:rPr>
        <w:t>Chief Medical Officer</w:t>
      </w:r>
    </w:p>
    <w:p w14:paraId="45471B32" w14:textId="17B89D57" w:rsidR="007E5D2A" w:rsidRDefault="00F96D3F" w:rsidP="00564019">
      <w:pPr>
        <w:pStyle w:val="JobDescription"/>
        <w:spacing w:after="120"/>
        <w:contextualSpacing w:val="0"/>
        <w:jc w:val="both"/>
      </w:pPr>
      <w:r w:rsidRPr="00F96D3F">
        <w:t xml:space="preserve">Supervise medical, addiction, and psychiatric services across </w:t>
      </w:r>
      <w:r w:rsidR="00006773">
        <w:t>eighteen</w:t>
      </w:r>
      <w:r w:rsidRPr="00F96D3F">
        <w:t xml:space="preserve"> facilities spanning eight states and four time zones</w:t>
      </w:r>
      <w:r>
        <w:t xml:space="preserve">. </w:t>
      </w:r>
      <w:r w:rsidRPr="00F96D3F">
        <w:t>Guide dynamic team of professionals including Chief Nursing Officer, Medical Directors such as psychiatrists, addictionologists, primary care physicians, and advanced practice nurses</w:t>
      </w:r>
      <w:r>
        <w:t xml:space="preserve">. Streamline medical treatments across all facilities through establishment of game-changing protocols. </w:t>
      </w:r>
      <w:r w:rsidRPr="00F96D3F">
        <w:t>Create</w:t>
      </w:r>
      <w:r w:rsidR="00006773">
        <w:t>d</w:t>
      </w:r>
      <w:r w:rsidRPr="00F96D3F">
        <w:t xml:space="preserve"> and implement</w:t>
      </w:r>
      <w:r w:rsidR="00006773">
        <w:t>ed</w:t>
      </w:r>
      <w:r w:rsidRPr="00F96D3F">
        <w:t xml:space="preserve"> QA benchmarks for medical personnel and outcome metrics for institutional tracking purposes</w:t>
      </w:r>
      <w:r>
        <w:t xml:space="preserve">, with critical indicators including </w:t>
      </w:r>
      <w:r w:rsidRPr="00F96D3F">
        <w:t>readmission rates and prescribed substance-use disorder medications for patient</w:t>
      </w:r>
      <w:r>
        <w:t xml:space="preserve">s. </w:t>
      </w:r>
      <w:r w:rsidRPr="00F96D3F">
        <w:t>Represent organization both internally and externally, concerning medical and clinical care.</w:t>
      </w:r>
    </w:p>
    <w:p w14:paraId="450997D5" w14:textId="5EAC5C74" w:rsidR="00F96D3F" w:rsidRDefault="00F96D3F" w:rsidP="00F96D3F">
      <w:pPr>
        <w:pStyle w:val="JobDescription"/>
        <w:numPr>
          <w:ilvl w:val="0"/>
          <w:numId w:val="13"/>
        </w:numPr>
      </w:pPr>
      <w:r w:rsidRPr="00F96D3F">
        <w:t xml:space="preserve">Significantly expanded operational footprint by establishing </w:t>
      </w:r>
      <w:r w:rsidR="00AD6803">
        <w:t xml:space="preserve">5 </w:t>
      </w:r>
      <w:r w:rsidRPr="00F96D3F">
        <w:t>new inpatient facilit</w:t>
      </w:r>
      <w:r w:rsidR="00006773">
        <w:t>ies</w:t>
      </w:r>
      <w:r w:rsidRPr="00F96D3F">
        <w:t xml:space="preserve">, penetrating two new states, </w:t>
      </w:r>
      <w:r w:rsidR="008D35C1">
        <w:t>while</w:t>
      </w:r>
      <w:r w:rsidRPr="00F96D3F">
        <w:t xml:space="preserve"> </w:t>
      </w:r>
      <w:r w:rsidR="008D35C1">
        <w:t>developing</w:t>
      </w:r>
      <w:r w:rsidRPr="00F96D3F">
        <w:t xml:space="preserve"> three more inpatient facilities for 202</w:t>
      </w:r>
      <w:r w:rsidR="00AD6803">
        <w:t>6</w:t>
      </w:r>
      <w:r w:rsidRPr="00F96D3F">
        <w:t>.</w:t>
      </w:r>
    </w:p>
    <w:p w14:paraId="0443F26C" w14:textId="268A97CE" w:rsidR="008D35C1" w:rsidRDefault="008D35C1" w:rsidP="00F96D3F">
      <w:pPr>
        <w:pStyle w:val="JobDescription"/>
        <w:numPr>
          <w:ilvl w:val="0"/>
          <w:numId w:val="13"/>
        </w:numPr>
      </w:pPr>
      <w:r>
        <w:t>Standardized the practice of addiction medicine across all sites via establishing a Banyan medical model of care delivery.</w:t>
      </w:r>
    </w:p>
    <w:p w14:paraId="15D86C99" w14:textId="03CF6843" w:rsidR="00784E61" w:rsidRDefault="00784E61" w:rsidP="00F96D3F">
      <w:pPr>
        <w:pStyle w:val="JobDescription"/>
        <w:numPr>
          <w:ilvl w:val="0"/>
          <w:numId w:val="13"/>
        </w:numPr>
      </w:pPr>
      <w:r>
        <w:t>Represented organization externally on medical and clinical matters.</w:t>
      </w:r>
    </w:p>
    <w:p w14:paraId="1DD1ED7E" w14:textId="12F60C56" w:rsidR="00F96D3F" w:rsidRDefault="00F96D3F" w:rsidP="00F96D3F">
      <w:pPr>
        <w:pStyle w:val="JobDescription"/>
        <w:numPr>
          <w:ilvl w:val="0"/>
          <w:numId w:val="13"/>
        </w:numPr>
      </w:pPr>
      <w:r w:rsidRPr="00F96D3F">
        <w:t>Spearheaded comprehensive suicide risk assessment program, ensuring all patients under Banyan's care receive enhanced safety measures and support.</w:t>
      </w:r>
    </w:p>
    <w:p w14:paraId="5B5B5116" w14:textId="7FEBB805" w:rsidR="003A7615" w:rsidRDefault="00FA4BF0" w:rsidP="003A7615">
      <w:pPr>
        <w:pStyle w:val="JobDescription"/>
        <w:numPr>
          <w:ilvl w:val="0"/>
          <w:numId w:val="13"/>
        </w:numPr>
      </w:pPr>
      <w:r>
        <w:t xml:space="preserve">Increased the utilization of medication assisted treatment for opioid use disorder patients </w:t>
      </w:r>
      <w:r w:rsidR="00006773" w:rsidRPr="00784E61">
        <w:rPr>
          <w:b/>
          <w:bCs/>
        </w:rPr>
        <w:t>60</w:t>
      </w:r>
      <w:r w:rsidRPr="00784E61">
        <w:rPr>
          <w:b/>
          <w:bCs/>
        </w:rPr>
        <w:t>%</w:t>
      </w:r>
      <w:r>
        <w:t xml:space="preserve"> over two years</w:t>
      </w:r>
      <w:r w:rsidR="00784E61">
        <w:t>, improving retention and outcomes across the nation</w:t>
      </w:r>
      <w:r>
        <w:t>.</w:t>
      </w:r>
    </w:p>
    <w:p w14:paraId="038C3907" w14:textId="294585B9" w:rsidR="003A7615" w:rsidRDefault="003A7615" w:rsidP="003A7615">
      <w:pPr>
        <w:pStyle w:val="JobDescription"/>
        <w:numPr>
          <w:ilvl w:val="0"/>
          <w:numId w:val="13"/>
        </w:numPr>
      </w:pPr>
      <w:r>
        <w:t>Advised on payer negotiations and value-based reimbursement strategies, contributing to cost-effective care delivery and operational sustainability.</w:t>
      </w:r>
    </w:p>
    <w:p w14:paraId="06A4A469" w14:textId="4E5FB005" w:rsidR="00811479" w:rsidRPr="00B6594D" w:rsidRDefault="00811479" w:rsidP="00811479">
      <w:pPr>
        <w:pStyle w:val="JobDescription"/>
        <w:numPr>
          <w:ilvl w:val="0"/>
          <w:numId w:val="13"/>
        </w:numPr>
      </w:pPr>
      <w:r>
        <w:t xml:space="preserve">Provided direct patient care approximately 20% of time. </w:t>
      </w:r>
    </w:p>
    <w:p w14:paraId="1638281C" w14:textId="541F04FD" w:rsidR="00D94879" w:rsidRPr="00EE2AC3" w:rsidRDefault="00463441" w:rsidP="00D94879">
      <w:pPr>
        <w:pStyle w:val="CompanyBlock"/>
        <w:rPr>
          <w:color w:val="294433"/>
        </w:rPr>
      </w:pPr>
      <w:r>
        <w:rPr>
          <w:color w:val="294433"/>
        </w:rPr>
        <w:lastRenderedPageBreak/>
        <w:t>Spero Health, Indianapolis, IN</w:t>
      </w:r>
      <w:r w:rsidR="00D94879" w:rsidRPr="00EE2AC3">
        <w:rPr>
          <w:color w:val="294433"/>
        </w:rPr>
        <w:tab/>
      </w:r>
      <w:r>
        <w:rPr>
          <w:color w:val="294433"/>
        </w:rPr>
        <w:t>Feb 2019</w:t>
      </w:r>
      <w:r w:rsidR="002935FA">
        <w:rPr>
          <w:color w:val="294433"/>
        </w:rPr>
        <w:t xml:space="preserve"> </w:t>
      </w:r>
      <w:r w:rsidR="00D94879" w:rsidRPr="00EE2AC3">
        <w:rPr>
          <w:color w:val="294433"/>
        </w:rPr>
        <w:t xml:space="preserve">– </w:t>
      </w:r>
      <w:r>
        <w:rPr>
          <w:color w:val="294433"/>
        </w:rPr>
        <w:t>Sep 2021</w:t>
      </w:r>
    </w:p>
    <w:p w14:paraId="036786C1" w14:textId="2DCA8D52" w:rsidR="00D94879" w:rsidRPr="00D94879" w:rsidRDefault="00463441" w:rsidP="00D94879">
      <w:pPr>
        <w:pStyle w:val="JobTitleBlock"/>
        <w:ind w:left="0"/>
        <w:rPr>
          <w:b w:val="0"/>
          <w:bCs w:val="0"/>
          <w:color w:val="294433"/>
        </w:rPr>
      </w:pPr>
      <w:r>
        <w:rPr>
          <w:b w:val="0"/>
          <w:bCs w:val="0"/>
          <w:color w:val="294433"/>
        </w:rPr>
        <w:t>Regional Medical Director</w:t>
      </w:r>
    </w:p>
    <w:p w14:paraId="35A93FA7" w14:textId="63562A17" w:rsidR="00D94879" w:rsidRDefault="000C18EB" w:rsidP="00564019">
      <w:pPr>
        <w:pStyle w:val="JobDescription"/>
        <w:spacing w:after="120"/>
        <w:contextualSpacing w:val="0"/>
        <w:jc w:val="both"/>
      </w:pPr>
      <w:r>
        <w:t xml:space="preserve">Steered </w:t>
      </w:r>
      <w:r w:rsidRPr="000C18EB">
        <w:t xml:space="preserve">daily functions across various outpatient </w:t>
      </w:r>
      <w:r w:rsidR="00D5370D">
        <w:t>office based opioid treatment programs (OBOTs)</w:t>
      </w:r>
      <w:r w:rsidRPr="000C18EB">
        <w:t xml:space="preserve"> focusing on substance misus</w:t>
      </w:r>
      <w:r>
        <w:t xml:space="preserve">e. Oversaw 50-member team </w:t>
      </w:r>
      <w:r w:rsidRPr="000C18EB">
        <w:t xml:space="preserve">of </w:t>
      </w:r>
      <w:r>
        <w:t>expert</w:t>
      </w:r>
      <w:r w:rsidRPr="000C18EB">
        <w:t xml:space="preserve"> doctors servicing variegated sites</w:t>
      </w:r>
      <w:r>
        <w:t xml:space="preserve">, </w:t>
      </w:r>
      <w:r w:rsidRPr="000C18EB">
        <w:t>orchestrating seamless delivery of medical services</w:t>
      </w:r>
      <w:r>
        <w:t>. Revitalized organization’s medical policy guidebook, enhancing its a</w:t>
      </w:r>
      <w:r w:rsidRPr="000C18EB">
        <w:t>ccessibility, relevance, and effectiveness for internal and external stakeholders</w:t>
      </w:r>
      <w:r>
        <w:t xml:space="preserve">. Managed direct patient care in Indianapolis clinics, facilitating </w:t>
      </w:r>
      <w:r w:rsidRPr="000C18EB">
        <w:t>high-quality healthcare delivery and patient satisfactio</w:t>
      </w:r>
      <w:r>
        <w:t>n. Elevated data accuracy through deployment</w:t>
      </w:r>
      <w:r w:rsidRPr="000C18EB">
        <w:t xml:space="preserve"> of EMR record-keeping system</w:t>
      </w:r>
      <w:r>
        <w:t xml:space="preserve">. </w:t>
      </w:r>
      <w:r w:rsidRPr="000C18EB">
        <w:t>Educate</w:t>
      </w:r>
      <w:r>
        <w:t>d</w:t>
      </w:r>
      <w:r w:rsidRPr="000C18EB">
        <w:t xml:space="preserve"> personnel to enhance medical coding precision, subsequently increasing profits.</w:t>
      </w:r>
    </w:p>
    <w:p w14:paraId="654AD4C0" w14:textId="2A90BD4C" w:rsidR="000C18EB" w:rsidRDefault="000C18EB" w:rsidP="000C18EB">
      <w:pPr>
        <w:pStyle w:val="JobDescription"/>
        <w:numPr>
          <w:ilvl w:val="0"/>
          <w:numId w:val="14"/>
        </w:numPr>
      </w:pPr>
      <w:r>
        <w:t xml:space="preserve">Drove rapid territory growth by </w:t>
      </w:r>
      <w:r w:rsidR="00466CB5">
        <w:t xml:space="preserve">doubling locations from 20 in three states to 40 in four states within impressive timeframe of just 18 months, </w:t>
      </w:r>
      <w:r w:rsidR="00784E61">
        <w:t>increasing profitability through enhanced coding accuracy and operational scale</w:t>
      </w:r>
      <w:r w:rsidR="00466CB5">
        <w:t xml:space="preserve">. </w:t>
      </w:r>
    </w:p>
    <w:p w14:paraId="71F56363" w14:textId="2BF126C4" w:rsidR="00466CB5" w:rsidRDefault="00466CB5" w:rsidP="000C18EB">
      <w:pPr>
        <w:pStyle w:val="JobDescription"/>
        <w:numPr>
          <w:ilvl w:val="0"/>
          <w:numId w:val="14"/>
        </w:numPr>
      </w:pPr>
      <w:r>
        <w:t xml:space="preserve">Directed </w:t>
      </w:r>
      <w:r w:rsidRPr="00466CB5">
        <w:t>swift transition from traditional in-person healthcare services to telehealth within two-week timeframe induced by COVID-19 pandemic, resulting in highly effective and well-received remote care delivery.</w:t>
      </w:r>
    </w:p>
    <w:p w14:paraId="09B5C6E5" w14:textId="5CCA3E79" w:rsidR="00811479" w:rsidRPr="00B6594D" w:rsidRDefault="00811479" w:rsidP="000C18EB">
      <w:pPr>
        <w:pStyle w:val="JobDescription"/>
        <w:numPr>
          <w:ilvl w:val="0"/>
          <w:numId w:val="14"/>
        </w:numPr>
      </w:pPr>
      <w:r>
        <w:t xml:space="preserve">Provided direct patient care approximately </w:t>
      </w:r>
      <w:r w:rsidR="005B133D">
        <w:t>5</w:t>
      </w:r>
      <w:r>
        <w:t xml:space="preserve">0% of time. </w:t>
      </w:r>
    </w:p>
    <w:p w14:paraId="2B610921" w14:textId="17CEE7ED" w:rsidR="00D94879" w:rsidRPr="00EE2AC3" w:rsidRDefault="00463441" w:rsidP="00D94879">
      <w:pPr>
        <w:pStyle w:val="CompanyBlock"/>
        <w:rPr>
          <w:color w:val="294433"/>
        </w:rPr>
      </w:pPr>
      <w:r>
        <w:rPr>
          <w:color w:val="294433"/>
        </w:rPr>
        <w:t>Fairbanks Hospital, Indianapolis, IN</w:t>
      </w:r>
      <w:r w:rsidR="00D94879" w:rsidRPr="00EE2AC3">
        <w:rPr>
          <w:color w:val="294433"/>
        </w:rPr>
        <w:tab/>
      </w:r>
      <w:r>
        <w:rPr>
          <w:color w:val="294433"/>
        </w:rPr>
        <w:t>Jun 2015</w:t>
      </w:r>
      <w:r w:rsidR="002935FA">
        <w:rPr>
          <w:color w:val="294433"/>
        </w:rPr>
        <w:t xml:space="preserve"> </w:t>
      </w:r>
      <w:r w:rsidR="00D94879" w:rsidRPr="00EE2AC3">
        <w:rPr>
          <w:color w:val="294433"/>
        </w:rPr>
        <w:t xml:space="preserve">– </w:t>
      </w:r>
      <w:r>
        <w:rPr>
          <w:color w:val="294433"/>
        </w:rPr>
        <w:t>Feb 2019</w:t>
      </w:r>
    </w:p>
    <w:p w14:paraId="44A7F840" w14:textId="6BAC4D78" w:rsidR="00D94879" w:rsidRPr="00D94879" w:rsidRDefault="00463441" w:rsidP="00D94879">
      <w:pPr>
        <w:pStyle w:val="JobTitleBlock"/>
        <w:ind w:left="0"/>
        <w:rPr>
          <w:b w:val="0"/>
          <w:bCs w:val="0"/>
          <w:color w:val="294433"/>
        </w:rPr>
      </w:pPr>
      <w:r>
        <w:rPr>
          <w:b w:val="0"/>
          <w:bCs w:val="0"/>
          <w:color w:val="294433"/>
        </w:rPr>
        <w:t>Chief Medical Officer</w:t>
      </w:r>
    </w:p>
    <w:p w14:paraId="7AEB911A" w14:textId="4FDF2415" w:rsidR="00D94879" w:rsidRDefault="00564019" w:rsidP="00564019">
      <w:pPr>
        <w:pStyle w:val="JobDescription"/>
        <w:spacing w:after="120"/>
        <w:contextualSpacing w:val="0"/>
        <w:jc w:val="both"/>
      </w:pPr>
      <w:r>
        <w:t>Directed</w:t>
      </w:r>
      <w:r w:rsidRPr="00564019">
        <w:t xml:space="preserve"> </w:t>
      </w:r>
      <w:r>
        <w:t xml:space="preserve">daily operations </w:t>
      </w:r>
      <w:r w:rsidRPr="00564019">
        <w:t>for behavioral health institution housing 90 bed</w:t>
      </w:r>
      <w:r>
        <w:t xml:space="preserve">s. Oversaw </w:t>
      </w:r>
      <w:r w:rsidRPr="00564019">
        <w:t>medical personnel to guarantee superior standards of car</w:t>
      </w:r>
      <w:r>
        <w:t xml:space="preserve">e. </w:t>
      </w:r>
      <w:r w:rsidRPr="00564019">
        <w:t>Formulated innovative strategies and mission statements to guide organizational vision forward</w:t>
      </w:r>
      <w:r>
        <w:t xml:space="preserve">. </w:t>
      </w:r>
      <w:r w:rsidRPr="00564019">
        <w:t>Constructed treatment blueprints and plans aimed at delivering accessible, efficient care to patients</w:t>
      </w:r>
      <w:r>
        <w:t xml:space="preserve">. </w:t>
      </w:r>
      <w:r w:rsidRPr="00564019">
        <w:t>Forged strategic partnerships intended for comprehensive health management within community's behavioral health sector</w:t>
      </w:r>
      <w:r>
        <w:t xml:space="preserve">. </w:t>
      </w:r>
      <w:r w:rsidR="00D5370D">
        <w:t xml:space="preserve"> </w:t>
      </w:r>
      <w:r w:rsidRPr="00564019">
        <w:t>Accomplished cost-saving negotiations for contracts, which particularly emphasized value-based reimbursements with payer sources.</w:t>
      </w:r>
      <w:r>
        <w:t xml:space="preserve"> </w:t>
      </w:r>
      <w:r w:rsidRPr="00564019">
        <w:t>Managed 40% clinical practice embedded within hospital's repertoire.</w:t>
      </w:r>
    </w:p>
    <w:p w14:paraId="342849DD" w14:textId="1F4AB75F" w:rsidR="000B061E" w:rsidRDefault="000B061E" w:rsidP="000B061E">
      <w:pPr>
        <w:pStyle w:val="JobDescription"/>
        <w:numPr>
          <w:ilvl w:val="0"/>
          <w:numId w:val="15"/>
        </w:numPr>
      </w:pPr>
      <w:r w:rsidRPr="000B061E">
        <w:t xml:space="preserve">Pioneered establishment cutting-edge outpatient addiction medicine clinic within </w:t>
      </w:r>
      <w:r w:rsidR="00DA5F8D">
        <w:t xml:space="preserve">the </w:t>
      </w:r>
      <w:r w:rsidRPr="000B061E">
        <w:t>hospital, closing critical patient care gap and achieving remarkable 1</w:t>
      </w:r>
      <w:r w:rsidR="00D5370D">
        <w:t>5</w:t>
      </w:r>
      <w:r w:rsidRPr="000B061E">
        <w:t>% reduction in 90-day hospital readmissions, coupled with 10% budget reduction.</w:t>
      </w:r>
    </w:p>
    <w:p w14:paraId="50A89555" w14:textId="2863A3AF" w:rsidR="00564019" w:rsidRDefault="00DA5F8D" w:rsidP="000B061E">
      <w:pPr>
        <w:pStyle w:val="JobDescription"/>
        <w:numPr>
          <w:ilvl w:val="0"/>
          <w:numId w:val="15"/>
        </w:numPr>
      </w:pPr>
      <w:r>
        <w:t>Served as</w:t>
      </w:r>
      <w:r w:rsidR="00564019" w:rsidRPr="00564019">
        <w:t xml:space="preserve"> key member of Attorney General's Task Force on Drug Enforcement, Treatment, and Prevention, contributing to vital efforts in combatting substance abuse</w:t>
      </w:r>
      <w:r w:rsidR="00564019">
        <w:t>.</w:t>
      </w:r>
    </w:p>
    <w:p w14:paraId="6200FFEE" w14:textId="48D24D46" w:rsidR="00811479" w:rsidRPr="00B6594D" w:rsidRDefault="00811479" w:rsidP="00811479">
      <w:pPr>
        <w:pStyle w:val="JobDescription"/>
        <w:numPr>
          <w:ilvl w:val="0"/>
          <w:numId w:val="15"/>
        </w:numPr>
      </w:pPr>
      <w:r>
        <w:t xml:space="preserve">Provided direct patient care approximately 60% of time. </w:t>
      </w:r>
    </w:p>
    <w:p w14:paraId="6CC30A7D" w14:textId="7C038246" w:rsidR="00D94879" w:rsidRPr="00EE2AC3" w:rsidRDefault="00463441" w:rsidP="00D94879">
      <w:pPr>
        <w:pStyle w:val="CompanyBlock"/>
        <w:rPr>
          <w:color w:val="294433"/>
        </w:rPr>
      </w:pPr>
      <w:r w:rsidRPr="00463441">
        <w:rPr>
          <w:color w:val="294433"/>
        </w:rPr>
        <w:t>Virginia Premier Health Plan, Inc.</w:t>
      </w:r>
      <w:r>
        <w:rPr>
          <w:color w:val="294433"/>
        </w:rPr>
        <w:t xml:space="preserve">, </w:t>
      </w:r>
      <w:r w:rsidRPr="00463441">
        <w:rPr>
          <w:color w:val="294433"/>
        </w:rPr>
        <w:t>Roanoke, VA</w:t>
      </w:r>
      <w:r w:rsidR="00D94879" w:rsidRPr="00EE2AC3">
        <w:rPr>
          <w:color w:val="294433"/>
        </w:rPr>
        <w:tab/>
      </w:r>
      <w:r>
        <w:rPr>
          <w:color w:val="294433"/>
        </w:rPr>
        <w:t>Jun 2013</w:t>
      </w:r>
      <w:r w:rsidR="002935FA">
        <w:rPr>
          <w:color w:val="294433"/>
        </w:rPr>
        <w:t xml:space="preserve"> </w:t>
      </w:r>
      <w:r w:rsidR="00D94879" w:rsidRPr="00EE2AC3">
        <w:rPr>
          <w:color w:val="294433"/>
        </w:rPr>
        <w:t xml:space="preserve">– </w:t>
      </w:r>
      <w:r>
        <w:rPr>
          <w:color w:val="294433"/>
        </w:rPr>
        <w:t>Jun 2015</w:t>
      </w:r>
    </w:p>
    <w:p w14:paraId="11764364" w14:textId="06FB36E4" w:rsidR="00D94879" w:rsidRPr="00D94879" w:rsidRDefault="00463441" w:rsidP="00D94879">
      <w:pPr>
        <w:pStyle w:val="JobTitleBlock"/>
        <w:ind w:left="0"/>
        <w:rPr>
          <w:b w:val="0"/>
          <w:bCs w:val="0"/>
          <w:color w:val="294433"/>
        </w:rPr>
      </w:pPr>
      <w:r>
        <w:rPr>
          <w:b w:val="0"/>
          <w:bCs w:val="0"/>
          <w:color w:val="294433"/>
        </w:rPr>
        <w:t>Medical Director</w:t>
      </w:r>
    </w:p>
    <w:p w14:paraId="01040F0D" w14:textId="2A9F31EB" w:rsidR="00D94879" w:rsidRDefault="009809C7" w:rsidP="00564019">
      <w:pPr>
        <w:pStyle w:val="JobDescription"/>
        <w:spacing w:after="120"/>
        <w:contextualSpacing w:val="0"/>
        <w:jc w:val="both"/>
      </w:pPr>
      <w:r>
        <w:t xml:space="preserve">Launched </w:t>
      </w:r>
      <w:r w:rsidRPr="009809C7">
        <w:t>new healthcare facility, overseeing creation o</w:t>
      </w:r>
      <w:r w:rsidR="00DA5F8D">
        <w:t xml:space="preserve">f </w:t>
      </w:r>
      <w:r w:rsidRPr="009809C7">
        <w:t>comprehensive medical policy manual and development of dedicated medical home for Medicaid beneficiaries. Managed substantial budget of $3.5 million, directing team of 15 professionals, including physicians, nurses, licensed clinical social workers, and administrative personnel. Provided immediate feedback for any delay or performance issues, guaranteeing patient satisfaction and service quality. Trained staff on eClinicalWorks EMR to enhance efficiency and data accuracy. Constructed and introduced health initiatives addressing needs of underserved patients.</w:t>
      </w:r>
    </w:p>
    <w:p w14:paraId="28C2195C" w14:textId="58298302" w:rsidR="00564019" w:rsidRPr="00564019" w:rsidRDefault="00564019" w:rsidP="00564019">
      <w:pPr>
        <w:pStyle w:val="JobDescription"/>
        <w:numPr>
          <w:ilvl w:val="0"/>
          <w:numId w:val="15"/>
        </w:numPr>
      </w:pPr>
      <w:r>
        <w:t xml:space="preserve">Implemented </w:t>
      </w:r>
      <w:r w:rsidRPr="00564019">
        <w:t>eClinicalWorks Electronic Medical Records (EMR) system and meticulously organized staff training, resulting in heightened operational efficiency and productivity enhancements.</w:t>
      </w:r>
    </w:p>
    <w:p w14:paraId="0234C69D" w14:textId="0E172EA4" w:rsidR="00564019" w:rsidRPr="00564019" w:rsidRDefault="00564019" w:rsidP="00564019">
      <w:pPr>
        <w:pStyle w:val="JobDescription"/>
        <w:numPr>
          <w:ilvl w:val="0"/>
          <w:numId w:val="15"/>
        </w:numPr>
      </w:pPr>
      <w:r w:rsidRPr="00564019">
        <w:t>Launched innovative program that successfully boosted patient vaccination rates by impressive 20%, outperforming other practices in local healthcare community.</w:t>
      </w:r>
    </w:p>
    <w:p w14:paraId="52AB2446" w14:textId="53F8F3EA" w:rsidR="00564019" w:rsidRDefault="00564019" w:rsidP="00564019">
      <w:pPr>
        <w:pStyle w:val="JobDescription"/>
        <w:numPr>
          <w:ilvl w:val="0"/>
          <w:numId w:val="15"/>
        </w:numPr>
      </w:pPr>
      <w:r w:rsidRPr="00564019">
        <w:t>Conducted thorough utilization reviews for patients, achieving remarkable 35% reduction in patients' emergency room utilization, enhancing healthcare resource allocation and cost-effectiveness.</w:t>
      </w:r>
    </w:p>
    <w:p w14:paraId="59A91EC9" w14:textId="1E134036" w:rsidR="00811479" w:rsidRPr="00B6594D" w:rsidRDefault="00811479" w:rsidP="00811479">
      <w:pPr>
        <w:pStyle w:val="JobDescription"/>
        <w:numPr>
          <w:ilvl w:val="0"/>
          <w:numId w:val="15"/>
        </w:numPr>
      </w:pPr>
      <w:r>
        <w:t xml:space="preserve">Provided direct patient care approximately 50% of time. </w:t>
      </w:r>
    </w:p>
    <w:p w14:paraId="0E04553C" w14:textId="30E93F6C" w:rsidR="00463441" w:rsidRPr="00EE2AC3" w:rsidRDefault="00463441" w:rsidP="00463441">
      <w:pPr>
        <w:pStyle w:val="CompanyBlock"/>
        <w:rPr>
          <w:color w:val="294433"/>
        </w:rPr>
      </w:pPr>
      <w:r w:rsidRPr="00463441">
        <w:rPr>
          <w:color w:val="294433"/>
        </w:rPr>
        <w:t>Forrest General Hospital</w:t>
      </w:r>
      <w:r>
        <w:rPr>
          <w:color w:val="294433"/>
        </w:rPr>
        <w:t xml:space="preserve">, </w:t>
      </w:r>
      <w:r w:rsidRPr="00463441">
        <w:rPr>
          <w:color w:val="294433"/>
        </w:rPr>
        <w:t>Hattiesburg, MS</w:t>
      </w:r>
      <w:r w:rsidRPr="00EE2AC3">
        <w:rPr>
          <w:color w:val="294433"/>
        </w:rPr>
        <w:tab/>
      </w:r>
      <w:r>
        <w:rPr>
          <w:color w:val="294433"/>
        </w:rPr>
        <w:t xml:space="preserve">Jun 2010 </w:t>
      </w:r>
      <w:r w:rsidRPr="00EE2AC3">
        <w:rPr>
          <w:color w:val="294433"/>
        </w:rPr>
        <w:t xml:space="preserve">– </w:t>
      </w:r>
      <w:r>
        <w:rPr>
          <w:color w:val="294433"/>
        </w:rPr>
        <w:t>Jul 2013</w:t>
      </w:r>
    </w:p>
    <w:p w14:paraId="57468ED3" w14:textId="22E7E422" w:rsidR="00463441" w:rsidRPr="00D94879" w:rsidRDefault="00463441" w:rsidP="00463441">
      <w:pPr>
        <w:pStyle w:val="JobTitleBlock"/>
        <w:ind w:left="0"/>
        <w:rPr>
          <w:b w:val="0"/>
          <w:bCs w:val="0"/>
          <w:color w:val="294433"/>
        </w:rPr>
      </w:pPr>
      <w:r>
        <w:rPr>
          <w:b w:val="0"/>
          <w:bCs w:val="0"/>
          <w:color w:val="294433"/>
        </w:rPr>
        <w:t>Physician</w:t>
      </w:r>
    </w:p>
    <w:p w14:paraId="3294B584" w14:textId="5C961CF3" w:rsidR="00463441" w:rsidRDefault="009809C7" w:rsidP="009809C7">
      <w:pPr>
        <w:pStyle w:val="JobDescription"/>
        <w:spacing w:after="120"/>
        <w:contextualSpacing w:val="0"/>
        <w:jc w:val="both"/>
      </w:pPr>
      <w:r>
        <w:t xml:space="preserve">Furnished comprehensive care for patients on general medical floor, as well as within ICU, inpatient psychiatric facilities, and outpatient clinics. Conducted thorough evaluations and administered appropriate treatments for patients grappling with eating disorders and chemical dependency. Scrutinized viable treatment suggestions in favor of over 200 compromised healthcare professionals stationed at Pine Grove facility. </w:t>
      </w:r>
      <w:r w:rsidRPr="009809C7">
        <w:t xml:space="preserve">Spearheaded Legacy Program, </w:t>
      </w:r>
      <w:r w:rsidR="00DA5F8D">
        <w:t xml:space="preserve">an </w:t>
      </w:r>
      <w:r w:rsidRPr="009809C7">
        <w:t>innovative 16-bed geriatric detoxification and residential addiction treatment hub.</w:t>
      </w:r>
      <w:r>
        <w:t xml:space="preserve"> Organized and steered multi-disciplinary team conferences for both Women's Center and Legacy Programs.</w:t>
      </w:r>
    </w:p>
    <w:p w14:paraId="141D7DC9" w14:textId="744503F8" w:rsidR="009809C7" w:rsidRPr="009809C7" w:rsidRDefault="009809C7" w:rsidP="003567CB">
      <w:pPr>
        <w:pStyle w:val="JobDescription"/>
        <w:numPr>
          <w:ilvl w:val="0"/>
          <w:numId w:val="15"/>
        </w:numPr>
      </w:pPr>
      <w:r w:rsidRPr="003567CB">
        <w:t>Championed hospital consult service for patients grappling with addiction, resulting in substantial 15% decrease in occurrence of delirium tremens within hospital, advancing patient care and safety.</w:t>
      </w:r>
    </w:p>
    <w:p w14:paraId="760796C9" w14:textId="05E178BD" w:rsidR="009809C7" w:rsidRPr="003567CB" w:rsidRDefault="009809C7" w:rsidP="003567CB">
      <w:pPr>
        <w:pStyle w:val="JobDescription"/>
        <w:numPr>
          <w:ilvl w:val="0"/>
          <w:numId w:val="15"/>
        </w:numPr>
      </w:pPr>
      <w:r w:rsidRPr="003567CB">
        <w:lastRenderedPageBreak/>
        <w:t>Drafted Holding Orders set, optimizing transition from emergency physician's Admit Order to patient's inpatient unit arrival, achieving impressive reduction to under 90 minutes.</w:t>
      </w:r>
    </w:p>
    <w:p w14:paraId="5C73C05D" w14:textId="77777777" w:rsidR="000B1A0D" w:rsidRDefault="003567CB" w:rsidP="00D31B3F">
      <w:pPr>
        <w:pStyle w:val="JobDescription"/>
        <w:numPr>
          <w:ilvl w:val="0"/>
          <w:numId w:val="15"/>
        </w:numPr>
      </w:pPr>
      <w:r w:rsidRPr="003567CB">
        <w:t>Played pivotal role as key contributor in successful transformation to hospital electronic health records, assuming role of Epic Super User, driving seamless adoption and integration across institution.</w:t>
      </w:r>
    </w:p>
    <w:p w14:paraId="1A738894" w14:textId="0AA6BA32" w:rsidR="00811479" w:rsidRDefault="00811479" w:rsidP="00811479">
      <w:pPr>
        <w:pStyle w:val="JobDescription"/>
        <w:numPr>
          <w:ilvl w:val="0"/>
          <w:numId w:val="15"/>
        </w:numPr>
      </w:pPr>
      <w:r>
        <w:t xml:space="preserve">Provided direct patient care approximately 80% of time. </w:t>
      </w:r>
    </w:p>
    <w:p w14:paraId="4FF0BE84" w14:textId="77777777" w:rsidR="000B1A0D" w:rsidRDefault="007E5D2A" w:rsidP="000B1A0D">
      <w:pPr>
        <w:pStyle w:val="JobTitleBlock"/>
        <w:rPr>
          <w:color w:val="294433"/>
        </w:rPr>
      </w:pPr>
      <w:r w:rsidRPr="00EE2AC3">
        <w:rPr>
          <w:color w:val="294433"/>
        </w:rPr>
        <w:tab/>
      </w:r>
    </w:p>
    <w:p w14:paraId="4C5B6050" w14:textId="45E87024" w:rsidR="000B1A0D" w:rsidRPr="000B1A0D" w:rsidRDefault="000B1A0D" w:rsidP="000B1A0D">
      <w:pPr>
        <w:pStyle w:val="JobTitleBlock"/>
        <w:ind w:left="0"/>
        <w:rPr>
          <w:rFonts w:ascii="Century" w:hAnsi="Century"/>
          <w:color w:val="294433"/>
          <w:sz w:val="28"/>
          <w:szCs w:val="28"/>
        </w:rPr>
      </w:pPr>
      <w:r w:rsidRPr="000B1A0D">
        <w:rPr>
          <w:rFonts w:ascii="Century" w:hAnsi="Century"/>
          <w:color w:val="294433"/>
          <w:sz w:val="28"/>
          <w:szCs w:val="28"/>
        </w:rPr>
        <w:t>Education</w:t>
      </w:r>
    </w:p>
    <w:p w14:paraId="688ACD61" w14:textId="77777777" w:rsidR="000B1A0D" w:rsidRPr="00D94879" w:rsidRDefault="000B1A0D" w:rsidP="000B1A0D">
      <w:pPr>
        <w:pStyle w:val="EduDegree"/>
        <w:ind w:left="0"/>
        <w:rPr>
          <w:color w:val="294433"/>
        </w:rPr>
      </w:pPr>
      <w:r w:rsidRPr="00463441">
        <w:rPr>
          <w:color w:val="294433"/>
        </w:rPr>
        <w:t>Doctor of Osteopathic Medicine</w:t>
      </w:r>
    </w:p>
    <w:p w14:paraId="2FF5E6CB" w14:textId="77777777" w:rsidR="000B1A0D" w:rsidRPr="00B6594D" w:rsidRDefault="000B1A0D" w:rsidP="000B1A0D">
      <w:pPr>
        <w:pStyle w:val="EduInfo"/>
      </w:pPr>
      <w:r w:rsidRPr="00463441">
        <w:t>Philadelphia College of Osteopathic Medicine</w:t>
      </w:r>
    </w:p>
    <w:p w14:paraId="07A3CA73" w14:textId="77777777" w:rsidR="000B1A0D" w:rsidRPr="00D94879" w:rsidRDefault="000B1A0D" w:rsidP="000B1A0D">
      <w:pPr>
        <w:pStyle w:val="EduDegree"/>
        <w:ind w:left="0"/>
        <w:rPr>
          <w:color w:val="294433"/>
        </w:rPr>
      </w:pPr>
      <w:r w:rsidRPr="00463441">
        <w:rPr>
          <w:color w:val="294433"/>
        </w:rPr>
        <w:t>Master of Public Health, Healthcare Policy, and Administration</w:t>
      </w:r>
    </w:p>
    <w:p w14:paraId="319A42F1" w14:textId="77777777" w:rsidR="000B1A0D" w:rsidRDefault="000B1A0D" w:rsidP="000B1A0D">
      <w:pPr>
        <w:pStyle w:val="EduInfo"/>
      </w:pPr>
      <w:r w:rsidRPr="00463441">
        <w:t>University of Southern Mississippi</w:t>
      </w:r>
    </w:p>
    <w:p w14:paraId="0606F4FD" w14:textId="77777777" w:rsidR="000B1A0D" w:rsidRPr="00D94879" w:rsidRDefault="000B1A0D" w:rsidP="000B1A0D">
      <w:pPr>
        <w:pStyle w:val="EduDegree"/>
        <w:ind w:left="0"/>
        <w:rPr>
          <w:color w:val="294433"/>
        </w:rPr>
      </w:pPr>
      <w:r w:rsidRPr="00463441">
        <w:rPr>
          <w:color w:val="294433"/>
        </w:rPr>
        <w:t>Bachelor of Science in Biology</w:t>
      </w:r>
    </w:p>
    <w:p w14:paraId="53F154CB" w14:textId="77777777" w:rsidR="000B1A0D" w:rsidRPr="00B6594D" w:rsidRDefault="000B1A0D" w:rsidP="000B1A0D">
      <w:pPr>
        <w:pStyle w:val="EduInfo"/>
      </w:pPr>
      <w:r>
        <w:t>Lycoming College</w:t>
      </w:r>
    </w:p>
    <w:p w14:paraId="0F715410" w14:textId="77777777" w:rsidR="00A01F1D" w:rsidRDefault="000B1A0D" w:rsidP="000B1A0D">
      <w:pPr>
        <w:pStyle w:val="SectionHeading"/>
        <w:rPr>
          <w:color w:val="294433"/>
        </w:rPr>
      </w:pPr>
      <w:r>
        <w:rPr>
          <w:color w:val="294433"/>
        </w:rPr>
        <w:t>Publications</w:t>
      </w:r>
    </w:p>
    <w:p w14:paraId="5920E06B" w14:textId="65E14DC4" w:rsidR="000B1A0D" w:rsidRPr="00A01F1D" w:rsidRDefault="000B1A0D" w:rsidP="000B1A0D">
      <w:pPr>
        <w:pStyle w:val="SectionHeading"/>
        <w:rPr>
          <w:color w:val="294433"/>
        </w:rPr>
      </w:pPr>
      <w:r w:rsidRPr="000B1A0D">
        <w:rPr>
          <w:rFonts w:ascii="Franklin Gothic Medium" w:hAnsi="Franklin Gothic Medium" w:cs="Open Sans"/>
          <w:b w:val="0"/>
          <w:bCs w:val="0"/>
          <w:color w:val="333333"/>
          <w:sz w:val="20"/>
          <w:szCs w:val="20"/>
          <w:shd w:val="clear" w:color="auto" w:fill="FFFFFF"/>
        </w:rPr>
        <w:t>Mangiacarne, D. (2025). President’s message. </w:t>
      </w:r>
      <w:r w:rsidRPr="000B1A0D">
        <w:rPr>
          <w:rFonts w:ascii="Franklin Gothic Medium" w:hAnsi="Franklin Gothic Medium" w:cs="Open Sans"/>
          <w:b w:val="0"/>
          <w:bCs w:val="0"/>
          <w:i/>
          <w:iCs/>
          <w:color w:val="333333"/>
          <w:sz w:val="20"/>
          <w:szCs w:val="20"/>
          <w:shd w:val="clear" w:color="auto" w:fill="FFFFFF"/>
        </w:rPr>
        <w:t>Journal of Addictive Diseases</w:t>
      </w:r>
      <w:r w:rsidRPr="000B1A0D">
        <w:rPr>
          <w:rFonts w:ascii="Franklin Gothic Medium" w:hAnsi="Franklin Gothic Medium" w:cs="Open Sans"/>
          <w:b w:val="0"/>
          <w:bCs w:val="0"/>
          <w:color w:val="333333"/>
          <w:sz w:val="20"/>
          <w:szCs w:val="20"/>
          <w:shd w:val="clear" w:color="auto" w:fill="FFFFFF"/>
        </w:rPr>
        <w:t>, </w:t>
      </w:r>
      <w:r w:rsidRPr="000B1A0D">
        <w:rPr>
          <w:rFonts w:ascii="Franklin Gothic Medium" w:hAnsi="Franklin Gothic Medium" w:cs="Open Sans"/>
          <w:b w:val="0"/>
          <w:bCs w:val="0"/>
          <w:i/>
          <w:iCs/>
          <w:color w:val="333333"/>
          <w:sz w:val="20"/>
          <w:szCs w:val="20"/>
          <w:shd w:val="clear" w:color="auto" w:fill="FFFFFF"/>
        </w:rPr>
        <w:t>43</w:t>
      </w:r>
      <w:r w:rsidRPr="000B1A0D">
        <w:rPr>
          <w:rFonts w:ascii="Franklin Gothic Medium" w:hAnsi="Franklin Gothic Medium" w:cs="Open Sans"/>
          <w:b w:val="0"/>
          <w:bCs w:val="0"/>
          <w:color w:val="333333"/>
          <w:sz w:val="20"/>
          <w:szCs w:val="20"/>
          <w:shd w:val="clear" w:color="auto" w:fill="FFFFFF"/>
        </w:rPr>
        <w:t>(2), 105–106. </w:t>
      </w:r>
      <w:hyperlink r:id="rId9" w:tooltip="https://doi.org/10.1080/10550887.2025.2465947" w:history="1">
        <w:r w:rsidRPr="000B1A0D">
          <w:rPr>
            <w:rFonts w:ascii="Franklin Gothic Medium" w:hAnsi="Franklin Gothic Medium" w:cs="Open Sans"/>
            <w:b w:val="0"/>
            <w:bCs w:val="0"/>
            <w:color w:val="96607D"/>
            <w:sz w:val="20"/>
            <w:szCs w:val="20"/>
            <w:u w:val="single"/>
            <w:shd w:val="clear" w:color="auto" w:fill="FFFFFF"/>
          </w:rPr>
          <w:t>https://doi.org/10.1080/10550887.2025.2465947</w:t>
        </w:r>
      </w:hyperlink>
    </w:p>
    <w:p w14:paraId="37CB6E43" w14:textId="0FC9A25F" w:rsidR="00BC1FC8" w:rsidRPr="00BC1FC8" w:rsidRDefault="00BC1FC8" w:rsidP="000B1A0D">
      <w:pPr>
        <w:pStyle w:val="SectionHeading"/>
        <w:rPr>
          <w:rFonts w:ascii="Franklin Gothic Medium" w:hAnsi="Franklin Gothic Medium"/>
          <w:b w:val="0"/>
          <w:bCs w:val="0"/>
          <w:sz w:val="20"/>
          <w:szCs w:val="20"/>
        </w:rPr>
      </w:pPr>
      <w:r w:rsidRPr="00BC1FC8">
        <w:rPr>
          <w:rFonts w:ascii="Franklin Gothic Medium" w:hAnsi="Franklin Gothic Medium" w:cs="Open Sans"/>
          <w:b w:val="0"/>
          <w:bCs w:val="0"/>
          <w:color w:val="333333"/>
          <w:sz w:val="20"/>
          <w:szCs w:val="20"/>
          <w:shd w:val="clear" w:color="auto" w:fill="FFFFFF"/>
        </w:rPr>
        <w:t>Mangiacarne, D. (2025). President’s message: the dangerous mirage of medical marijuana. </w:t>
      </w:r>
      <w:r w:rsidRPr="00BC1FC8">
        <w:rPr>
          <w:rFonts w:ascii="Franklin Gothic Medium" w:hAnsi="Franklin Gothic Medium" w:cs="Open Sans"/>
          <w:b w:val="0"/>
          <w:bCs w:val="0"/>
          <w:i/>
          <w:iCs/>
          <w:color w:val="333333"/>
          <w:sz w:val="20"/>
          <w:szCs w:val="20"/>
          <w:shd w:val="clear" w:color="auto" w:fill="FFFFFF"/>
        </w:rPr>
        <w:t>Journal of Addictive Diseases</w:t>
      </w:r>
      <w:r w:rsidRPr="00BC1FC8">
        <w:rPr>
          <w:rFonts w:ascii="Franklin Gothic Medium" w:hAnsi="Franklin Gothic Medium" w:cs="Open Sans"/>
          <w:b w:val="0"/>
          <w:bCs w:val="0"/>
          <w:color w:val="333333"/>
          <w:sz w:val="20"/>
          <w:szCs w:val="20"/>
          <w:shd w:val="clear" w:color="auto" w:fill="FFFFFF"/>
        </w:rPr>
        <w:t>, </w:t>
      </w:r>
      <w:r w:rsidRPr="00BC1FC8">
        <w:rPr>
          <w:rFonts w:ascii="Franklin Gothic Medium" w:hAnsi="Franklin Gothic Medium" w:cs="Open Sans"/>
          <w:b w:val="0"/>
          <w:bCs w:val="0"/>
          <w:i/>
          <w:iCs/>
          <w:color w:val="333333"/>
          <w:sz w:val="20"/>
          <w:szCs w:val="20"/>
          <w:shd w:val="clear" w:color="auto" w:fill="FFFFFF"/>
        </w:rPr>
        <w:t>43</w:t>
      </w:r>
      <w:r w:rsidRPr="00BC1FC8">
        <w:rPr>
          <w:rFonts w:ascii="Franklin Gothic Medium" w:hAnsi="Franklin Gothic Medium" w:cs="Open Sans"/>
          <w:b w:val="0"/>
          <w:bCs w:val="0"/>
          <w:color w:val="333333"/>
          <w:sz w:val="20"/>
          <w:szCs w:val="20"/>
          <w:shd w:val="clear" w:color="auto" w:fill="FFFFFF"/>
        </w:rPr>
        <w:t>(3), 199–200. https://doi.org/10.1080/10550887.2025.2504237</w:t>
      </w:r>
    </w:p>
    <w:p w14:paraId="65918305" w14:textId="4096AC74" w:rsidR="00CA2486" w:rsidRPr="006713F3" w:rsidRDefault="00CA2486" w:rsidP="00CA2486">
      <w:pPr>
        <w:rPr>
          <w:rFonts w:ascii="Franklin Gothic Medium" w:hAnsi="Franklin Gothic Medium" w:cs="Times New Roman"/>
          <w:color w:val="333333"/>
          <w:sz w:val="20"/>
          <w:szCs w:val="20"/>
          <w:shd w:val="clear" w:color="auto" w:fill="FFFFFF"/>
        </w:rPr>
      </w:pPr>
      <w:r w:rsidRPr="006713F3">
        <w:rPr>
          <w:rFonts w:ascii="Franklin Gothic Medium" w:hAnsi="Franklin Gothic Medium" w:cs="Times New Roman"/>
          <w:color w:val="333333"/>
          <w:sz w:val="20"/>
          <w:szCs w:val="20"/>
          <w:shd w:val="clear" w:color="auto" w:fill="FFFFFF"/>
        </w:rPr>
        <w:t>Mangiacarne, D. (2025). President’s message: the dangers of ketamine clinic proliferation. </w:t>
      </w:r>
      <w:r w:rsidRPr="006713F3">
        <w:rPr>
          <w:rFonts w:ascii="Franklin Gothic Medium" w:hAnsi="Franklin Gothic Medium" w:cs="Times New Roman"/>
          <w:i/>
          <w:iCs/>
          <w:color w:val="333333"/>
          <w:sz w:val="20"/>
          <w:szCs w:val="20"/>
          <w:shd w:val="clear" w:color="auto" w:fill="FFFFFF"/>
        </w:rPr>
        <w:t>Journal of Addictive Diseases</w:t>
      </w:r>
      <w:r w:rsidRPr="006713F3">
        <w:rPr>
          <w:rFonts w:ascii="Franklin Gothic Medium" w:hAnsi="Franklin Gothic Medium" w:cs="Times New Roman"/>
          <w:color w:val="333333"/>
          <w:sz w:val="20"/>
          <w:szCs w:val="20"/>
          <w:shd w:val="clear" w:color="auto" w:fill="FFFFFF"/>
        </w:rPr>
        <w:t>,</w:t>
      </w:r>
      <w:r w:rsidR="005E4743">
        <w:rPr>
          <w:rFonts w:ascii="Franklin Gothic Medium" w:hAnsi="Franklin Gothic Medium" w:cs="Times New Roman"/>
          <w:color w:val="333333"/>
          <w:sz w:val="20"/>
          <w:szCs w:val="20"/>
          <w:shd w:val="clear" w:color="auto" w:fill="FFFFFF"/>
        </w:rPr>
        <w:t xml:space="preserve"> 43(4), 297-298. </w:t>
      </w:r>
      <w:hyperlink r:id="rId10" w:history="1">
        <w:r w:rsidRPr="006713F3">
          <w:rPr>
            <w:rStyle w:val="Hyperlink"/>
            <w:rFonts w:ascii="Franklin Gothic Medium" w:hAnsi="Franklin Gothic Medium" w:cs="Times New Roman"/>
            <w:sz w:val="20"/>
            <w:szCs w:val="20"/>
            <w:shd w:val="clear" w:color="auto" w:fill="FFFFFF"/>
          </w:rPr>
          <w:t>https://doi.org/10.1080/10550887.2025.2536889</w:t>
        </w:r>
      </w:hyperlink>
    </w:p>
    <w:p w14:paraId="4AA622E7" w14:textId="6C7B4511" w:rsidR="007E5D2A" w:rsidRPr="00EE2AC3" w:rsidRDefault="007E5D2A" w:rsidP="00D31B3F">
      <w:pPr>
        <w:pStyle w:val="SectionHeading"/>
        <w:rPr>
          <w:color w:val="294433"/>
        </w:rPr>
      </w:pPr>
      <w:r w:rsidRPr="00EE2AC3">
        <w:rPr>
          <w:color w:val="294433"/>
        </w:rPr>
        <w:t>Certifications</w:t>
      </w:r>
    </w:p>
    <w:p w14:paraId="204358AC" w14:textId="77777777" w:rsidR="00463441" w:rsidRPr="001006C3" w:rsidRDefault="00463441" w:rsidP="00463441">
      <w:pPr>
        <w:pStyle w:val="AdditionalList"/>
        <w:numPr>
          <w:ilvl w:val="0"/>
          <w:numId w:val="0"/>
        </w:numPr>
      </w:pPr>
      <w:r w:rsidRPr="001006C3">
        <w:t>American</w:t>
      </w:r>
      <w:r w:rsidRPr="00463441">
        <w:t xml:space="preserve"> </w:t>
      </w:r>
      <w:r w:rsidRPr="001006C3">
        <w:t>Board</w:t>
      </w:r>
      <w:r w:rsidRPr="00463441">
        <w:t xml:space="preserve"> </w:t>
      </w:r>
      <w:r w:rsidRPr="001006C3">
        <w:t>of</w:t>
      </w:r>
      <w:r w:rsidRPr="00463441">
        <w:t xml:space="preserve"> </w:t>
      </w:r>
      <w:r w:rsidRPr="001006C3">
        <w:t>Preventive</w:t>
      </w:r>
      <w:r w:rsidRPr="00463441">
        <w:t xml:space="preserve"> </w:t>
      </w:r>
      <w:r w:rsidRPr="001006C3">
        <w:t>Medicine—Addiction</w:t>
      </w:r>
      <w:r w:rsidRPr="00463441">
        <w:t xml:space="preserve"> </w:t>
      </w:r>
      <w:r w:rsidRPr="001006C3">
        <w:t>Medicine</w:t>
      </w:r>
      <w:r w:rsidRPr="00463441">
        <w:t xml:space="preserve"> </w:t>
      </w:r>
      <w:r w:rsidRPr="001006C3">
        <w:t>#61-17638,</w:t>
      </w:r>
      <w:r w:rsidRPr="00463441">
        <w:t xml:space="preserve"> </w:t>
      </w:r>
      <w:r w:rsidRPr="001006C3">
        <w:t>2020-</w:t>
      </w:r>
      <w:r w:rsidRPr="00463441">
        <w:t>2030</w:t>
      </w:r>
    </w:p>
    <w:p w14:paraId="52AD9207" w14:textId="276AE22C" w:rsidR="00463441" w:rsidRPr="001006C3" w:rsidRDefault="00463441" w:rsidP="00463441">
      <w:pPr>
        <w:pStyle w:val="AdditionalList"/>
        <w:numPr>
          <w:ilvl w:val="0"/>
          <w:numId w:val="0"/>
        </w:numPr>
      </w:pPr>
      <w:r w:rsidRPr="00463441">
        <w:t>American Osteopathic Board of Family Physicians #</w:t>
      </w:r>
      <w:r w:rsidR="003C6FAB" w:rsidRPr="00463441">
        <w:t>14415 – 2009 – 2</w:t>
      </w:r>
      <w:r w:rsidR="003C6FAB">
        <w:t>034</w:t>
      </w:r>
      <w:r w:rsidR="003C6FAB" w:rsidRPr="00463441">
        <w:t xml:space="preserve">; Recertified, 2018 </w:t>
      </w:r>
      <w:r w:rsidR="003C6FAB">
        <w:t xml:space="preserve">and </w:t>
      </w:r>
      <w:r w:rsidR="003C6FAB" w:rsidRPr="00463441">
        <w:t>2025</w:t>
      </w:r>
    </w:p>
    <w:p w14:paraId="67C804AF" w14:textId="77777777" w:rsidR="00463441" w:rsidRPr="001006C3" w:rsidRDefault="00463441" w:rsidP="00463441">
      <w:pPr>
        <w:pStyle w:val="AdditionalList"/>
        <w:numPr>
          <w:ilvl w:val="0"/>
          <w:numId w:val="0"/>
        </w:numPr>
      </w:pPr>
      <w:r w:rsidRPr="00463441">
        <w:t>Certificate of Added Qualifications in Addiction Medicine, 2017 – 2021; Recertified, 2021—2031</w:t>
      </w:r>
    </w:p>
    <w:p w14:paraId="7F68AE39" w14:textId="77777777" w:rsidR="00463441" w:rsidRPr="001006C3" w:rsidRDefault="00463441" w:rsidP="00463441">
      <w:pPr>
        <w:pStyle w:val="AdditionalList"/>
        <w:numPr>
          <w:ilvl w:val="0"/>
          <w:numId w:val="0"/>
        </w:numPr>
      </w:pPr>
      <w:r w:rsidRPr="00463441">
        <w:t>American Board of Addiction Medicine #2010289, 2010 – 2020</w:t>
      </w:r>
    </w:p>
    <w:p w14:paraId="6DF0BC30" w14:textId="77777777" w:rsidR="00463441" w:rsidRPr="001006C3" w:rsidRDefault="00463441" w:rsidP="00463441">
      <w:pPr>
        <w:pStyle w:val="AdditionalList"/>
        <w:numPr>
          <w:ilvl w:val="0"/>
          <w:numId w:val="0"/>
        </w:numPr>
      </w:pPr>
      <w:r w:rsidRPr="00463441">
        <w:t>Certified Medical Review Officer #17-12408, 2017 – 2022</w:t>
      </w:r>
    </w:p>
    <w:p w14:paraId="47706477" w14:textId="77777777" w:rsidR="00463441" w:rsidRPr="001006C3" w:rsidRDefault="00463441" w:rsidP="00463441">
      <w:pPr>
        <w:pStyle w:val="AdditionalList"/>
        <w:numPr>
          <w:ilvl w:val="0"/>
          <w:numId w:val="0"/>
        </w:numPr>
      </w:pPr>
      <w:r w:rsidRPr="001006C3">
        <w:t>Certified</w:t>
      </w:r>
      <w:r w:rsidRPr="00463441">
        <w:t xml:space="preserve"> </w:t>
      </w:r>
      <w:r w:rsidRPr="001006C3">
        <w:t>Physician</w:t>
      </w:r>
      <w:r w:rsidRPr="00463441">
        <w:t xml:space="preserve"> </w:t>
      </w:r>
      <w:r w:rsidRPr="001006C3">
        <w:t>Executive,</w:t>
      </w:r>
      <w:r w:rsidRPr="00463441">
        <w:t xml:space="preserve"> 2015</w:t>
      </w:r>
    </w:p>
    <w:p w14:paraId="4ACDE0F8" w14:textId="0AD19343" w:rsidR="007E5D2A" w:rsidRPr="00EE2AC3" w:rsidRDefault="00B76949" w:rsidP="00D31B3F">
      <w:pPr>
        <w:pStyle w:val="SectionHeading"/>
        <w:rPr>
          <w:color w:val="294433"/>
        </w:rPr>
      </w:pPr>
      <w:r>
        <w:rPr>
          <w:color w:val="294433"/>
        </w:rPr>
        <w:t xml:space="preserve">Active </w:t>
      </w:r>
      <w:r w:rsidR="00463441">
        <w:rPr>
          <w:color w:val="294433"/>
        </w:rPr>
        <w:t>Licensure</w:t>
      </w:r>
      <w:r>
        <w:rPr>
          <w:color w:val="294433"/>
        </w:rPr>
        <w:t xml:space="preserve"> (1</w:t>
      </w:r>
      <w:r w:rsidR="00006773">
        <w:rPr>
          <w:color w:val="294433"/>
        </w:rPr>
        <w:t>7</w:t>
      </w:r>
      <w:r>
        <w:rPr>
          <w:color w:val="294433"/>
        </w:rPr>
        <w:t xml:space="preserve"> States)</w:t>
      </w:r>
    </w:p>
    <w:tbl>
      <w:tblPr>
        <w:tblStyle w:val="PlainTable4"/>
        <w:tblW w:w="0" w:type="auto"/>
        <w:tblLook w:val="04A0" w:firstRow="1" w:lastRow="0" w:firstColumn="1" w:lastColumn="0" w:noHBand="0" w:noVBand="1"/>
      </w:tblPr>
      <w:tblGrid>
        <w:gridCol w:w="3402"/>
        <w:gridCol w:w="4253"/>
        <w:gridCol w:w="3135"/>
      </w:tblGrid>
      <w:tr w:rsidR="00463441" w:rsidRPr="00463441" w14:paraId="6C403516" w14:textId="77777777" w:rsidTr="0046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9708ADA" w14:textId="6ACA4788" w:rsidR="00463441" w:rsidRPr="00463441" w:rsidRDefault="00463441" w:rsidP="00463441">
            <w:pPr>
              <w:rPr>
                <w:rFonts w:ascii="Franklin Gothic Book" w:hAnsi="Franklin Gothic Book"/>
                <w:b w:val="0"/>
                <w:bCs w:val="0"/>
                <w:sz w:val="20"/>
                <w:szCs w:val="20"/>
              </w:rPr>
            </w:pPr>
            <w:r w:rsidRPr="00463441">
              <w:rPr>
                <w:rFonts w:ascii="Franklin Gothic Book" w:hAnsi="Franklin Gothic Book"/>
                <w:b w:val="0"/>
                <w:bCs w:val="0"/>
                <w:sz w:val="20"/>
                <w:szCs w:val="20"/>
              </w:rPr>
              <w:t>Alaska #202480, 2023</w:t>
            </w:r>
          </w:p>
        </w:tc>
        <w:tc>
          <w:tcPr>
            <w:tcW w:w="4253" w:type="dxa"/>
          </w:tcPr>
          <w:p w14:paraId="2D8B95CD" w14:textId="6ED574A0" w:rsidR="00463441" w:rsidRPr="00463441" w:rsidRDefault="00463441" w:rsidP="00463441">
            <w:pPr>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sz w:val="20"/>
                <w:szCs w:val="20"/>
              </w:rPr>
            </w:pPr>
            <w:r w:rsidRPr="00463441">
              <w:rPr>
                <w:rFonts w:ascii="Franklin Gothic Book" w:hAnsi="Franklin Gothic Book"/>
                <w:b w:val="0"/>
                <w:bCs w:val="0"/>
                <w:sz w:val="20"/>
                <w:szCs w:val="20"/>
              </w:rPr>
              <w:t>Kentucky #04631, 2019</w:t>
            </w:r>
          </w:p>
        </w:tc>
        <w:tc>
          <w:tcPr>
            <w:tcW w:w="3135" w:type="dxa"/>
          </w:tcPr>
          <w:p w14:paraId="5EFEB3AF" w14:textId="012171F7" w:rsidR="00463441" w:rsidRPr="00463441" w:rsidRDefault="00463441" w:rsidP="00463441">
            <w:pPr>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sz w:val="20"/>
                <w:szCs w:val="20"/>
              </w:rPr>
            </w:pPr>
            <w:r w:rsidRPr="00463441">
              <w:rPr>
                <w:rFonts w:ascii="Franklin Gothic Book" w:hAnsi="Franklin Gothic Book"/>
                <w:b w:val="0"/>
                <w:bCs w:val="0"/>
                <w:sz w:val="20"/>
                <w:szCs w:val="20"/>
              </w:rPr>
              <w:t xml:space="preserve">Ohio #34.014116, 2019 </w:t>
            </w:r>
          </w:p>
        </w:tc>
      </w:tr>
      <w:tr w:rsidR="00463441" w:rsidRPr="00463441" w14:paraId="51C5B840" w14:textId="77777777" w:rsidTr="0046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417823" w14:textId="3B1F923A" w:rsidR="00463441" w:rsidRPr="00463441" w:rsidRDefault="00463441" w:rsidP="00463441">
            <w:pPr>
              <w:rPr>
                <w:rFonts w:ascii="Franklin Gothic Book" w:hAnsi="Franklin Gothic Book"/>
                <w:b w:val="0"/>
                <w:bCs w:val="0"/>
                <w:sz w:val="20"/>
                <w:szCs w:val="20"/>
              </w:rPr>
            </w:pPr>
            <w:r w:rsidRPr="00463441">
              <w:rPr>
                <w:rFonts w:ascii="Franklin Gothic Book" w:hAnsi="Franklin Gothic Book"/>
                <w:b w:val="0"/>
                <w:bCs w:val="0"/>
                <w:sz w:val="20"/>
                <w:szCs w:val="20"/>
              </w:rPr>
              <w:t xml:space="preserve">California #20109, 2022 </w:t>
            </w:r>
          </w:p>
        </w:tc>
        <w:tc>
          <w:tcPr>
            <w:tcW w:w="4253" w:type="dxa"/>
            <w:shd w:val="clear" w:color="auto" w:fill="auto"/>
          </w:tcPr>
          <w:p w14:paraId="48AACD53" w14:textId="7B595B3D" w:rsidR="00463441" w:rsidRPr="00463441" w:rsidRDefault="00463441" w:rsidP="00463441">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 xml:space="preserve">Illinois #036.160139, 2022 </w:t>
            </w:r>
          </w:p>
        </w:tc>
        <w:tc>
          <w:tcPr>
            <w:tcW w:w="3135" w:type="dxa"/>
            <w:shd w:val="clear" w:color="auto" w:fill="auto"/>
          </w:tcPr>
          <w:p w14:paraId="5B93D7AC" w14:textId="5CB2FBA2" w:rsidR="00463441" w:rsidRPr="00463441" w:rsidRDefault="00463441" w:rsidP="00463441">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 xml:space="preserve">Pennsylvania #OS 014185, 2007 </w:t>
            </w:r>
          </w:p>
        </w:tc>
      </w:tr>
      <w:tr w:rsidR="00463441" w:rsidRPr="00463441" w14:paraId="3D3E2455" w14:textId="77777777" w:rsidTr="00463441">
        <w:tc>
          <w:tcPr>
            <w:cnfStyle w:val="001000000000" w:firstRow="0" w:lastRow="0" w:firstColumn="1" w:lastColumn="0" w:oddVBand="0" w:evenVBand="0" w:oddHBand="0" w:evenHBand="0" w:firstRowFirstColumn="0" w:firstRowLastColumn="0" w:lastRowFirstColumn="0" w:lastRowLastColumn="0"/>
            <w:tcW w:w="3402" w:type="dxa"/>
          </w:tcPr>
          <w:p w14:paraId="293A5621" w14:textId="29F04BE1" w:rsidR="00BF38FA" w:rsidRPr="00BF38FA" w:rsidRDefault="00463441" w:rsidP="00463441">
            <w:pPr>
              <w:rPr>
                <w:rFonts w:ascii="Franklin Gothic Book" w:hAnsi="Franklin Gothic Book"/>
                <w:sz w:val="20"/>
                <w:szCs w:val="20"/>
              </w:rPr>
            </w:pPr>
            <w:r w:rsidRPr="00463441">
              <w:rPr>
                <w:rFonts w:ascii="Franklin Gothic Book" w:hAnsi="Franklin Gothic Book"/>
                <w:b w:val="0"/>
                <w:bCs w:val="0"/>
                <w:sz w:val="20"/>
                <w:szCs w:val="20"/>
              </w:rPr>
              <w:t>Delaware #C2-0023995, 2022</w:t>
            </w:r>
          </w:p>
        </w:tc>
        <w:tc>
          <w:tcPr>
            <w:tcW w:w="4253" w:type="dxa"/>
          </w:tcPr>
          <w:p w14:paraId="3E06F286" w14:textId="0477EF1B" w:rsidR="00463441" w:rsidRPr="00463441" w:rsidRDefault="00463441" w:rsidP="00463441">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Indiana #02004594A/B, 2015</w:t>
            </w:r>
          </w:p>
        </w:tc>
        <w:tc>
          <w:tcPr>
            <w:tcW w:w="3135" w:type="dxa"/>
          </w:tcPr>
          <w:p w14:paraId="2B92E3E9" w14:textId="4D1E67C1" w:rsidR="00463441" w:rsidRPr="00463441" w:rsidRDefault="00463441" w:rsidP="00463441">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 xml:space="preserve">Tennessee #3845, 2019 </w:t>
            </w:r>
          </w:p>
        </w:tc>
      </w:tr>
      <w:tr w:rsidR="00463441" w:rsidRPr="00463441" w14:paraId="776DCDE9" w14:textId="77777777" w:rsidTr="0046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4049DAF" w14:textId="5BC5D388" w:rsidR="00463441" w:rsidRPr="00463441" w:rsidRDefault="00BF38FA" w:rsidP="00463441">
            <w:pPr>
              <w:rPr>
                <w:rFonts w:ascii="Franklin Gothic Book" w:hAnsi="Franklin Gothic Book"/>
                <w:b w:val="0"/>
                <w:bCs w:val="0"/>
                <w:sz w:val="20"/>
                <w:szCs w:val="20"/>
              </w:rPr>
            </w:pPr>
            <w:r>
              <w:rPr>
                <w:rFonts w:ascii="Franklin Gothic Book" w:hAnsi="Franklin Gothic Book"/>
                <w:b w:val="0"/>
                <w:bCs w:val="0"/>
                <w:sz w:val="20"/>
                <w:szCs w:val="20"/>
              </w:rPr>
              <w:t xml:space="preserve">Colorado #DR.0072851, 2024 </w:t>
            </w:r>
            <w:r w:rsidR="00463441" w:rsidRPr="00463441">
              <w:rPr>
                <w:rFonts w:ascii="Franklin Gothic Book" w:hAnsi="Franklin Gothic Book"/>
                <w:b w:val="0"/>
                <w:bCs w:val="0"/>
                <w:sz w:val="20"/>
                <w:szCs w:val="20"/>
              </w:rPr>
              <w:t>Florida #OS 14247, 2016</w:t>
            </w:r>
          </w:p>
        </w:tc>
        <w:tc>
          <w:tcPr>
            <w:tcW w:w="4253" w:type="dxa"/>
            <w:shd w:val="clear" w:color="auto" w:fill="auto"/>
          </w:tcPr>
          <w:p w14:paraId="1021FD06" w14:textId="4ABDFE75" w:rsidR="00463441" w:rsidRPr="00463441" w:rsidRDefault="00463441" w:rsidP="00463441">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Mississippi # 21086, 2010 - 2015, 2022</w:t>
            </w:r>
            <w:r w:rsidR="00BF38FA" w:rsidRPr="00463441">
              <w:rPr>
                <w:rFonts w:ascii="Franklin Gothic Book" w:hAnsi="Franklin Gothic Book"/>
                <w:sz w:val="20"/>
                <w:szCs w:val="20"/>
              </w:rPr>
              <w:t xml:space="preserve"> </w:t>
            </w:r>
            <w:r w:rsidR="00BF38FA">
              <w:rPr>
                <w:rFonts w:ascii="Franklin Gothic Book" w:hAnsi="Franklin Gothic Book"/>
                <w:sz w:val="20"/>
                <w:szCs w:val="20"/>
              </w:rPr>
              <w:t xml:space="preserve">   </w:t>
            </w:r>
            <w:r w:rsidR="00BF38FA" w:rsidRPr="00463441">
              <w:rPr>
                <w:rFonts w:ascii="Franklin Gothic Book" w:hAnsi="Franklin Gothic Book"/>
                <w:sz w:val="20"/>
                <w:szCs w:val="20"/>
              </w:rPr>
              <w:t>New Jersey #25MB10687400, 2019</w:t>
            </w:r>
          </w:p>
        </w:tc>
        <w:tc>
          <w:tcPr>
            <w:tcW w:w="3135" w:type="dxa"/>
            <w:shd w:val="clear" w:color="auto" w:fill="auto"/>
          </w:tcPr>
          <w:p w14:paraId="02F4765F" w14:textId="277BE6F2" w:rsidR="00463441" w:rsidRPr="00463441" w:rsidRDefault="00463441" w:rsidP="00463441">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20"/>
                <w:szCs w:val="20"/>
              </w:rPr>
            </w:pPr>
            <w:r w:rsidRPr="00463441">
              <w:rPr>
                <w:rFonts w:ascii="Franklin Gothic Book" w:hAnsi="Franklin Gothic Book"/>
                <w:sz w:val="20"/>
                <w:szCs w:val="20"/>
              </w:rPr>
              <w:t xml:space="preserve">South Carolina # 87885, 2022 </w:t>
            </w:r>
            <w:r w:rsidR="00BF38FA" w:rsidRPr="00463441">
              <w:rPr>
                <w:rFonts w:ascii="Franklin Gothic Book" w:hAnsi="Franklin Gothic Book"/>
                <w:sz w:val="20"/>
                <w:szCs w:val="20"/>
              </w:rPr>
              <w:t>Virginia #0102203536, 2013</w:t>
            </w:r>
          </w:p>
        </w:tc>
      </w:tr>
      <w:tr w:rsidR="00463441" w:rsidRPr="00463441" w14:paraId="7CCA6A4F" w14:textId="77777777" w:rsidTr="00463441">
        <w:tc>
          <w:tcPr>
            <w:cnfStyle w:val="001000000000" w:firstRow="0" w:lastRow="0" w:firstColumn="1" w:lastColumn="0" w:oddVBand="0" w:evenVBand="0" w:oddHBand="0" w:evenHBand="0" w:firstRowFirstColumn="0" w:firstRowLastColumn="0" w:lastRowFirstColumn="0" w:lastRowLastColumn="0"/>
            <w:tcW w:w="3402" w:type="dxa"/>
          </w:tcPr>
          <w:p w14:paraId="4A8154B7" w14:textId="7870EF3B" w:rsidR="00463441" w:rsidRPr="00463441" w:rsidRDefault="00463441" w:rsidP="00463441">
            <w:pPr>
              <w:rPr>
                <w:rFonts w:ascii="Franklin Gothic Book" w:hAnsi="Franklin Gothic Book"/>
                <w:b w:val="0"/>
                <w:bCs w:val="0"/>
                <w:sz w:val="20"/>
                <w:szCs w:val="20"/>
              </w:rPr>
            </w:pPr>
            <w:r w:rsidRPr="00463441">
              <w:rPr>
                <w:rFonts w:ascii="Franklin Gothic Book" w:hAnsi="Franklin Gothic Book"/>
                <w:b w:val="0"/>
                <w:bCs w:val="0"/>
                <w:sz w:val="20"/>
                <w:szCs w:val="20"/>
              </w:rPr>
              <w:t>Georgia #84037, 2019</w:t>
            </w:r>
          </w:p>
        </w:tc>
        <w:tc>
          <w:tcPr>
            <w:tcW w:w="4253" w:type="dxa"/>
          </w:tcPr>
          <w:p w14:paraId="5E9BBEA1" w14:textId="1BA9F3BD" w:rsidR="00463441" w:rsidRPr="00463441" w:rsidRDefault="00006773" w:rsidP="00463441">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r>
              <w:rPr>
                <w:rFonts w:ascii="Franklin Gothic Book" w:hAnsi="Franklin Gothic Book"/>
                <w:sz w:val="20"/>
                <w:szCs w:val="20"/>
              </w:rPr>
              <w:t>North Carolina #2024-02651, 2024</w:t>
            </w:r>
          </w:p>
        </w:tc>
        <w:tc>
          <w:tcPr>
            <w:tcW w:w="3135" w:type="dxa"/>
          </w:tcPr>
          <w:p w14:paraId="17ED11A3" w14:textId="57578DC8" w:rsidR="00463441" w:rsidRPr="00463441" w:rsidRDefault="00463441" w:rsidP="00463441">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0"/>
                <w:szCs w:val="20"/>
              </w:rPr>
            </w:pPr>
          </w:p>
        </w:tc>
      </w:tr>
    </w:tbl>
    <w:p w14:paraId="11D84E04" w14:textId="5EA17D0E" w:rsidR="00463441" w:rsidRPr="00EE2AC3" w:rsidRDefault="00463441" w:rsidP="00463441">
      <w:pPr>
        <w:pStyle w:val="SectionHeading"/>
        <w:rPr>
          <w:color w:val="294433"/>
        </w:rPr>
      </w:pPr>
      <w:r>
        <w:rPr>
          <w:color w:val="294433"/>
        </w:rPr>
        <w:t>Affiliations</w:t>
      </w:r>
    </w:p>
    <w:p w14:paraId="36D323D9" w14:textId="77777777" w:rsidR="00006773" w:rsidRPr="00407934" w:rsidRDefault="00006773" w:rsidP="00006773">
      <w:pPr>
        <w:pStyle w:val="AdditionalList"/>
        <w:numPr>
          <w:ilvl w:val="0"/>
          <w:numId w:val="0"/>
        </w:numPr>
      </w:pPr>
      <w:r w:rsidRPr="00463441">
        <w:rPr>
          <w:b/>
          <w:bCs/>
        </w:rPr>
        <w:t>President</w:t>
      </w:r>
      <w:r w:rsidRPr="00463441">
        <w:t>— American Osteopathic Academy of Addiction Medicine, 202</w:t>
      </w:r>
      <w:r>
        <w:t>4</w:t>
      </w:r>
      <w:r w:rsidRPr="00463441">
        <w:t xml:space="preserve"> — Present</w:t>
      </w:r>
    </w:p>
    <w:p w14:paraId="45F21BD5" w14:textId="30F92341" w:rsidR="00463441" w:rsidRPr="00407934" w:rsidRDefault="00463441" w:rsidP="00463441">
      <w:pPr>
        <w:pStyle w:val="AdditionalList"/>
        <w:numPr>
          <w:ilvl w:val="0"/>
          <w:numId w:val="0"/>
        </w:numPr>
      </w:pPr>
      <w:r w:rsidRPr="00463441">
        <w:rPr>
          <w:b/>
          <w:bCs/>
        </w:rPr>
        <w:t>Board of Trustees</w:t>
      </w:r>
      <w:r w:rsidRPr="00463441">
        <w:t xml:space="preserve"> — American Osteopathic Academy of Addiction Medicine, 2019 — Present</w:t>
      </w:r>
    </w:p>
    <w:p w14:paraId="6D271F51" w14:textId="77777777" w:rsidR="00463441" w:rsidRPr="00407934" w:rsidRDefault="00463441" w:rsidP="00463441">
      <w:pPr>
        <w:pStyle w:val="AdditionalList"/>
        <w:numPr>
          <w:ilvl w:val="0"/>
          <w:numId w:val="0"/>
        </w:numPr>
      </w:pPr>
      <w:r w:rsidRPr="00463441">
        <w:rPr>
          <w:b/>
          <w:bCs/>
        </w:rPr>
        <w:t>Treasurer</w:t>
      </w:r>
      <w:r w:rsidRPr="00463441">
        <w:t xml:space="preserve"> –American Osteopathic Academy of Addiction Medicine, 2021 – Present</w:t>
      </w:r>
    </w:p>
    <w:p w14:paraId="10E94F67" w14:textId="77777777" w:rsidR="00463441" w:rsidRPr="00407934" w:rsidRDefault="00463441" w:rsidP="00463441">
      <w:pPr>
        <w:pStyle w:val="AdditionalList"/>
        <w:numPr>
          <w:ilvl w:val="0"/>
          <w:numId w:val="0"/>
        </w:numPr>
      </w:pPr>
      <w:r w:rsidRPr="00463441">
        <w:rPr>
          <w:b/>
          <w:bCs/>
        </w:rPr>
        <w:t>Fellow</w:t>
      </w:r>
      <w:r w:rsidRPr="00463441">
        <w:t xml:space="preserve"> </w:t>
      </w:r>
      <w:r w:rsidRPr="00407934">
        <w:t>–</w:t>
      </w:r>
      <w:r w:rsidRPr="00463441">
        <w:t xml:space="preserve"> </w:t>
      </w:r>
      <w:r w:rsidRPr="00407934">
        <w:t>American</w:t>
      </w:r>
      <w:r w:rsidRPr="00463441">
        <w:t xml:space="preserve"> </w:t>
      </w:r>
      <w:r w:rsidRPr="00407934">
        <w:t>Osteopathic</w:t>
      </w:r>
      <w:r w:rsidRPr="00463441">
        <w:t xml:space="preserve"> </w:t>
      </w:r>
      <w:r w:rsidRPr="00407934">
        <w:t>Academy</w:t>
      </w:r>
      <w:r w:rsidRPr="00463441">
        <w:t xml:space="preserve"> </w:t>
      </w:r>
      <w:r w:rsidRPr="00407934">
        <w:t>of</w:t>
      </w:r>
      <w:r w:rsidRPr="00463441">
        <w:t xml:space="preserve"> </w:t>
      </w:r>
      <w:r w:rsidRPr="00407934">
        <w:t>Addiction</w:t>
      </w:r>
      <w:r w:rsidRPr="00463441">
        <w:t xml:space="preserve"> </w:t>
      </w:r>
      <w:r w:rsidRPr="00407934">
        <w:t>Medicine,</w:t>
      </w:r>
      <w:r w:rsidRPr="00463441">
        <w:t xml:space="preserve"> 2020</w:t>
      </w:r>
    </w:p>
    <w:p w14:paraId="6197E853" w14:textId="77777777" w:rsidR="00463441" w:rsidRPr="00407934" w:rsidRDefault="00463441" w:rsidP="00463441">
      <w:pPr>
        <w:pStyle w:val="AdditionalList"/>
        <w:numPr>
          <w:ilvl w:val="0"/>
          <w:numId w:val="0"/>
        </w:numPr>
      </w:pPr>
      <w:r w:rsidRPr="00463441">
        <w:rPr>
          <w:b/>
          <w:bCs/>
        </w:rPr>
        <w:t>Distinguished Fellow</w:t>
      </w:r>
      <w:r w:rsidRPr="00463441">
        <w:t xml:space="preserve"> </w:t>
      </w:r>
      <w:r w:rsidRPr="00407934">
        <w:t>-</w:t>
      </w:r>
      <w:r w:rsidRPr="00463441">
        <w:t xml:space="preserve"> </w:t>
      </w:r>
      <w:r w:rsidRPr="00407934">
        <w:t>American</w:t>
      </w:r>
      <w:r w:rsidRPr="00463441">
        <w:t xml:space="preserve"> </w:t>
      </w:r>
      <w:r w:rsidRPr="00407934">
        <w:t>Society</w:t>
      </w:r>
      <w:r w:rsidRPr="00463441">
        <w:t xml:space="preserve"> </w:t>
      </w:r>
      <w:r w:rsidRPr="00407934">
        <w:t>of</w:t>
      </w:r>
      <w:r w:rsidRPr="00463441">
        <w:t xml:space="preserve"> </w:t>
      </w:r>
      <w:r w:rsidRPr="00407934">
        <w:t>Addiction</w:t>
      </w:r>
      <w:r w:rsidRPr="00463441">
        <w:t xml:space="preserve"> </w:t>
      </w:r>
      <w:r w:rsidRPr="00407934">
        <w:t>Medicine,</w:t>
      </w:r>
      <w:r w:rsidRPr="00463441">
        <w:t xml:space="preserve"> 2019</w:t>
      </w:r>
    </w:p>
    <w:p w14:paraId="1BB8A40D" w14:textId="77777777" w:rsidR="00463441" w:rsidRPr="00407934" w:rsidRDefault="00463441" w:rsidP="00463441">
      <w:pPr>
        <w:pStyle w:val="AdditionalList"/>
        <w:numPr>
          <w:ilvl w:val="0"/>
          <w:numId w:val="0"/>
        </w:numPr>
      </w:pPr>
      <w:r w:rsidRPr="00463441">
        <w:rPr>
          <w:b/>
          <w:bCs/>
        </w:rPr>
        <w:t>President</w:t>
      </w:r>
      <w:r w:rsidRPr="00463441">
        <w:t xml:space="preserve"> – Indiana Society of Addiction Medicine, 2018 – 2020</w:t>
      </w:r>
    </w:p>
    <w:p w14:paraId="476BC438" w14:textId="6494674F" w:rsidR="002437FB" w:rsidRPr="00EE2AC3" w:rsidRDefault="002437FB" w:rsidP="002437FB">
      <w:pPr>
        <w:pStyle w:val="SectionHeading"/>
        <w:rPr>
          <w:color w:val="294433"/>
        </w:rPr>
      </w:pPr>
      <w:r>
        <w:rPr>
          <w:color w:val="294433"/>
        </w:rPr>
        <w:lastRenderedPageBreak/>
        <w:t>Committee &amp; Faculty Appointments</w:t>
      </w:r>
    </w:p>
    <w:p w14:paraId="0AA4F33E" w14:textId="77777777" w:rsidR="002437FB" w:rsidRPr="00115875" w:rsidRDefault="002437FB" w:rsidP="002437FB">
      <w:pPr>
        <w:pStyle w:val="AdditionalList"/>
        <w:numPr>
          <w:ilvl w:val="0"/>
          <w:numId w:val="0"/>
        </w:numPr>
      </w:pPr>
      <w:r w:rsidRPr="002437FB">
        <w:t>National Finance Committee – American Society of Addiction Medicine, 2019 – 2021</w:t>
      </w:r>
    </w:p>
    <w:p w14:paraId="75144047" w14:textId="77777777" w:rsidR="002437FB" w:rsidRPr="00115875" w:rsidRDefault="002437FB" w:rsidP="002437FB">
      <w:pPr>
        <w:pStyle w:val="AdditionalList"/>
        <w:numPr>
          <w:ilvl w:val="0"/>
          <w:numId w:val="0"/>
        </w:numPr>
      </w:pPr>
      <w:r w:rsidRPr="002437FB">
        <w:t>Chair – Indiana Attorney General’s Task Force on Drug Abuse, 2017 – 2019</w:t>
      </w:r>
    </w:p>
    <w:p w14:paraId="24F2CAD2" w14:textId="77777777" w:rsidR="002437FB" w:rsidRPr="00115875" w:rsidRDefault="002437FB" w:rsidP="002437FB">
      <w:pPr>
        <w:pStyle w:val="AdditionalList"/>
        <w:numPr>
          <w:ilvl w:val="0"/>
          <w:numId w:val="0"/>
        </w:numPr>
      </w:pPr>
      <w:r w:rsidRPr="002437FB">
        <w:t>Chair – Fairbanks Hospital Medical Executive Committee, 2015 – 2019</w:t>
      </w:r>
    </w:p>
    <w:p w14:paraId="115BAAD7" w14:textId="77777777" w:rsidR="002437FB" w:rsidRPr="00115875" w:rsidRDefault="002437FB" w:rsidP="002437FB">
      <w:pPr>
        <w:pStyle w:val="AdditionalList"/>
        <w:numPr>
          <w:ilvl w:val="0"/>
          <w:numId w:val="0"/>
        </w:numPr>
      </w:pPr>
      <w:r w:rsidRPr="002437FB">
        <w:t>Chair – Fairbanks Hospital Quality Committee, 2015 – 2019</w:t>
      </w:r>
    </w:p>
    <w:p w14:paraId="04B5B7B3" w14:textId="77777777" w:rsidR="002437FB" w:rsidRPr="00115875" w:rsidRDefault="002437FB" w:rsidP="002437FB">
      <w:pPr>
        <w:pStyle w:val="AdditionalList"/>
        <w:numPr>
          <w:ilvl w:val="0"/>
          <w:numId w:val="0"/>
        </w:numPr>
      </w:pPr>
      <w:r w:rsidRPr="002437FB">
        <w:t>Chair – Fairbanks Hospital Clinical Committee, 2015 – 2019</w:t>
      </w:r>
    </w:p>
    <w:p w14:paraId="4A550D57" w14:textId="77777777" w:rsidR="002437FB" w:rsidRPr="00115875" w:rsidRDefault="002437FB" w:rsidP="002437FB">
      <w:pPr>
        <w:pStyle w:val="AdditionalList"/>
        <w:numPr>
          <w:ilvl w:val="0"/>
          <w:numId w:val="0"/>
        </w:numPr>
      </w:pPr>
      <w:r w:rsidRPr="002437FB">
        <w:t>Chair – Virginia Premier Professional Review Committee, 2013 – 2015</w:t>
      </w:r>
    </w:p>
    <w:p w14:paraId="3BEDAF1A" w14:textId="77777777" w:rsidR="002437FB" w:rsidRPr="00115875" w:rsidRDefault="002437FB" w:rsidP="002437FB">
      <w:pPr>
        <w:pStyle w:val="AdditionalList"/>
        <w:numPr>
          <w:ilvl w:val="0"/>
          <w:numId w:val="0"/>
        </w:numPr>
      </w:pPr>
      <w:r w:rsidRPr="002437FB">
        <w:t>Chair – Virginia Premier Quality Improvement Committee, 2013 – 2015</w:t>
      </w:r>
    </w:p>
    <w:p w14:paraId="3E288F99" w14:textId="77777777" w:rsidR="002437FB" w:rsidRPr="00115875" w:rsidRDefault="002437FB" w:rsidP="002437FB">
      <w:pPr>
        <w:pStyle w:val="AdditionalList"/>
        <w:numPr>
          <w:ilvl w:val="0"/>
          <w:numId w:val="0"/>
        </w:numPr>
      </w:pPr>
      <w:r w:rsidRPr="00115875">
        <w:t>Verified</w:t>
      </w:r>
      <w:r w:rsidRPr="002437FB">
        <w:t xml:space="preserve"> </w:t>
      </w:r>
      <w:r w:rsidRPr="00115875">
        <w:t>Affiliate</w:t>
      </w:r>
      <w:r w:rsidRPr="002437FB">
        <w:t xml:space="preserve"> </w:t>
      </w:r>
      <w:r w:rsidRPr="00115875">
        <w:t>Preceptor</w:t>
      </w:r>
      <w:r w:rsidRPr="002437FB">
        <w:t xml:space="preserve"> </w:t>
      </w:r>
      <w:r w:rsidRPr="00115875">
        <w:t>–</w:t>
      </w:r>
      <w:r w:rsidRPr="002437FB">
        <w:t xml:space="preserve"> </w:t>
      </w:r>
      <w:r w:rsidRPr="00115875">
        <w:t>Des</w:t>
      </w:r>
      <w:r w:rsidRPr="002437FB">
        <w:t xml:space="preserve"> </w:t>
      </w:r>
      <w:r w:rsidRPr="00115875">
        <w:t>Moines</w:t>
      </w:r>
      <w:r w:rsidRPr="002437FB">
        <w:t xml:space="preserve"> </w:t>
      </w:r>
      <w:r w:rsidRPr="00115875">
        <w:t>University</w:t>
      </w:r>
      <w:r w:rsidRPr="002437FB">
        <w:t xml:space="preserve"> </w:t>
      </w:r>
      <w:r w:rsidRPr="00115875">
        <w:t>College</w:t>
      </w:r>
      <w:r w:rsidRPr="002437FB">
        <w:t xml:space="preserve"> </w:t>
      </w:r>
      <w:r w:rsidRPr="00115875">
        <w:t>of</w:t>
      </w:r>
      <w:r w:rsidRPr="002437FB">
        <w:t xml:space="preserve"> </w:t>
      </w:r>
      <w:r w:rsidRPr="00115875">
        <w:t>Osteopathic</w:t>
      </w:r>
      <w:r w:rsidRPr="002437FB">
        <w:t xml:space="preserve"> </w:t>
      </w:r>
      <w:r w:rsidRPr="00115875">
        <w:t>Medicine,</w:t>
      </w:r>
      <w:r w:rsidRPr="002437FB">
        <w:t xml:space="preserve"> 2017</w:t>
      </w:r>
    </w:p>
    <w:p w14:paraId="3519BCBF" w14:textId="77777777" w:rsidR="002437FB" w:rsidRPr="00115875" w:rsidRDefault="002437FB" w:rsidP="002437FB">
      <w:pPr>
        <w:pStyle w:val="AdditionalList"/>
        <w:numPr>
          <w:ilvl w:val="0"/>
          <w:numId w:val="0"/>
        </w:numPr>
      </w:pPr>
      <w:r w:rsidRPr="002437FB">
        <w:t>Assistant Clinical Professor – Marian University College of Osteopathic Medicine, 2015</w:t>
      </w:r>
    </w:p>
    <w:p w14:paraId="458982CD" w14:textId="60C4D692" w:rsidR="002437FB" w:rsidRPr="002437FB" w:rsidRDefault="002437FB" w:rsidP="002437FB">
      <w:pPr>
        <w:pStyle w:val="AdditionalList"/>
        <w:numPr>
          <w:ilvl w:val="0"/>
          <w:numId w:val="0"/>
        </w:numPr>
      </w:pPr>
      <w:r w:rsidRPr="00115875">
        <w:t>Adjunct</w:t>
      </w:r>
      <w:r w:rsidRPr="002437FB">
        <w:t xml:space="preserve"> </w:t>
      </w:r>
      <w:r w:rsidRPr="00115875">
        <w:t>Clinical</w:t>
      </w:r>
      <w:r w:rsidRPr="002437FB">
        <w:t xml:space="preserve"> </w:t>
      </w:r>
      <w:r w:rsidRPr="00115875">
        <w:t>Professor</w:t>
      </w:r>
      <w:r w:rsidRPr="002437FB">
        <w:t xml:space="preserve"> </w:t>
      </w:r>
      <w:r w:rsidRPr="00115875">
        <w:t>–</w:t>
      </w:r>
      <w:r w:rsidRPr="002437FB">
        <w:t xml:space="preserve"> </w:t>
      </w:r>
      <w:r w:rsidRPr="00115875">
        <w:t>William</w:t>
      </w:r>
      <w:r w:rsidRPr="002437FB">
        <w:t xml:space="preserve"> </w:t>
      </w:r>
      <w:r w:rsidRPr="00115875">
        <w:t>Carey</w:t>
      </w:r>
      <w:r w:rsidRPr="002437FB">
        <w:t xml:space="preserve"> </w:t>
      </w:r>
      <w:r w:rsidRPr="00115875">
        <w:t>University</w:t>
      </w:r>
      <w:r w:rsidRPr="002437FB">
        <w:t xml:space="preserve"> </w:t>
      </w:r>
      <w:r w:rsidRPr="00115875">
        <w:t>College</w:t>
      </w:r>
      <w:r w:rsidRPr="002437FB">
        <w:t xml:space="preserve"> </w:t>
      </w:r>
      <w:r w:rsidRPr="00115875">
        <w:t>of</w:t>
      </w:r>
      <w:r w:rsidRPr="002437FB">
        <w:t xml:space="preserve"> </w:t>
      </w:r>
      <w:r w:rsidRPr="00115875">
        <w:t>Osteopathic</w:t>
      </w:r>
      <w:r w:rsidRPr="002437FB">
        <w:t xml:space="preserve"> </w:t>
      </w:r>
      <w:r w:rsidRPr="00115875">
        <w:t>Medicine,</w:t>
      </w:r>
      <w:r w:rsidRPr="002437FB">
        <w:t xml:space="preserve"> 2011</w:t>
      </w:r>
    </w:p>
    <w:p w14:paraId="0C91F756" w14:textId="28C26D91" w:rsidR="00D94879" w:rsidRPr="002437FB" w:rsidRDefault="00D94879" w:rsidP="002437FB">
      <w:pPr>
        <w:pStyle w:val="AdditionalList"/>
        <w:numPr>
          <w:ilvl w:val="0"/>
          <w:numId w:val="0"/>
        </w:numPr>
      </w:pPr>
    </w:p>
    <w:sectPr w:rsidR="00D94879" w:rsidRPr="002437FB" w:rsidSect="00D65701">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97B9" w14:textId="77777777" w:rsidR="0066057A" w:rsidRDefault="0066057A" w:rsidP="00641691">
      <w:r>
        <w:separator/>
      </w:r>
    </w:p>
  </w:endnote>
  <w:endnote w:type="continuationSeparator" w:id="0">
    <w:p w14:paraId="527E34CA" w14:textId="77777777" w:rsidR="0066057A" w:rsidRDefault="0066057A"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mbria"/>
    <w:panose1 w:val="020B0604020202020204"/>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E1B3" w14:textId="77777777" w:rsidR="00641691" w:rsidRPr="00B6594D" w:rsidRDefault="00641691">
    <w:pPr>
      <w:tabs>
        <w:tab w:val="center" w:pos="4550"/>
        <w:tab w:val="left" w:pos="5818"/>
      </w:tabs>
      <w:ind w:right="260"/>
      <w:jc w:val="right"/>
      <w:rPr>
        <w:rFonts w:ascii="Century" w:hAnsi="Century"/>
        <w:color w:val="0F5581"/>
        <w:sz w:val="18"/>
        <w:szCs w:val="18"/>
      </w:rPr>
    </w:pPr>
    <w:r w:rsidRPr="00B6594D">
      <w:rPr>
        <w:rFonts w:ascii="Century" w:hAnsi="Century"/>
        <w:color w:val="0F5581"/>
        <w:spacing w:val="60"/>
        <w:sz w:val="18"/>
        <w:szCs w:val="18"/>
      </w:rPr>
      <w:t>Page</w:t>
    </w:r>
    <w:r w:rsidRPr="00B6594D">
      <w:rPr>
        <w:rFonts w:ascii="Century" w:hAnsi="Century"/>
        <w:color w:val="0F5581"/>
        <w:sz w:val="18"/>
        <w:szCs w:val="18"/>
      </w:rPr>
      <w:t xml:space="preserve">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PAGE   \* MERGEFORMAT </w:instrText>
    </w:r>
    <w:r w:rsidRPr="00B6594D">
      <w:rPr>
        <w:rFonts w:ascii="Century" w:hAnsi="Century"/>
        <w:color w:val="0F5581"/>
        <w:sz w:val="18"/>
        <w:szCs w:val="18"/>
      </w:rPr>
      <w:fldChar w:fldCharType="separate"/>
    </w:r>
    <w:r w:rsidRPr="00B6594D">
      <w:rPr>
        <w:rFonts w:ascii="Century" w:hAnsi="Century"/>
        <w:noProof/>
        <w:color w:val="0F5581"/>
        <w:sz w:val="18"/>
        <w:szCs w:val="18"/>
      </w:rPr>
      <w:t>1</w:t>
    </w:r>
    <w:r w:rsidRPr="00B6594D">
      <w:rPr>
        <w:rFonts w:ascii="Century" w:hAnsi="Century"/>
        <w:color w:val="0F5581"/>
        <w:sz w:val="18"/>
        <w:szCs w:val="18"/>
      </w:rPr>
      <w:fldChar w:fldCharType="end"/>
    </w:r>
    <w:r w:rsidRPr="00B6594D">
      <w:rPr>
        <w:rFonts w:ascii="Century" w:hAnsi="Century"/>
        <w:color w:val="0F5581"/>
        <w:sz w:val="18"/>
        <w:szCs w:val="18"/>
      </w:rPr>
      <w:t xml:space="preserve"> |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NUMPAGES  \* Arabic  \* MERGEFORMAT </w:instrText>
    </w:r>
    <w:r w:rsidRPr="00B6594D">
      <w:rPr>
        <w:rFonts w:ascii="Century" w:hAnsi="Century"/>
        <w:color w:val="0F5581"/>
        <w:sz w:val="18"/>
        <w:szCs w:val="18"/>
      </w:rPr>
      <w:fldChar w:fldCharType="separate"/>
    </w:r>
    <w:r w:rsidRPr="00B6594D">
      <w:rPr>
        <w:rFonts w:ascii="Century" w:hAnsi="Century"/>
        <w:noProof/>
        <w:color w:val="0F5581"/>
        <w:sz w:val="18"/>
        <w:szCs w:val="18"/>
      </w:rPr>
      <w:t>1</w:t>
    </w:r>
    <w:r w:rsidRPr="00B6594D">
      <w:rPr>
        <w:rFonts w:ascii="Century" w:hAnsi="Century"/>
        <w:color w:val="0F5581"/>
        <w:sz w:val="18"/>
        <w:szCs w:val="18"/>
      </w:rPr>
      <w:fldChar w:fldCharType="end"/>
    </w:r>
  </w:p>
  <w:p w14:paraId="10AE262F" w14:textId="3B753653" w:rsidR="00641691" w:rsidRPr="00B6594D" w:rsidRDefault="00641691">
    <w:pPr>
      <w:pStyle w:val="Footer"/>
      <w:rPr>
        <w:rFonts w:ascii="Century" w:hAnsi="Century"/>
        <w:color w:val="0F558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3E07" w14:textId="77777777" w:rsidR="0066057A" w:rsidRDefault="0066057A" w:rsidP="00641691">
      <w:r>
        <w:separator/>
      </w:r>
    </w:p>
  </w:footnote>
  <w:footnote w:type="continuationSeparator" w:id="0">
    <w:p w14:paraId="27EC0A01" w14:textId="77777777" w:rsidR="0066057A" w:rsidRDefault="0066057A" w:rsidP="0064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53D"/>
    <w:multiLevelType w:val="hybridMultilevel"/>
    <w:tmpl w:val="F18ADDA2"/>
    <w:lvl w:ilvl="0" w:tplc="40090001">
      <w:start w:val="1"/>
      <w:numFmt w:val="bullet"/>
      <w:lvlText w:val=""/>
      <w:lvlJc w:val="left"/>
      <w:pPr>
        <w:ind w:left="907" w:hanging="360"/>
      </w:pPr>
      <w:rPr>
        <w:rFonts w:ascii="Symbol" w:hAnsi="Symbol"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1" w15:restartNumberingAfterBreak="0">
    <w:nsid w:val="0A9C30AD"/>
    <w:multiLevelType w:val="hybridMultilevel"/>
    <w:tmpl w:val="3EC462D0"/>
    <w:lvl w:ilvl="0" w:tplc="40090001">
      <w:start w:val="1"/>
      <w:numFmt w:val="bullet"/>
      <w:lvlText w:val=""/>
      <w:lvlJc w:val="left"/>
      <w:pPr>
        <w:ind w:left="907" w:hanging="360"/>
      </w:pPr>
      <w:rPr>
        <w:rFonts w:ascii="Symbol" w:hAnsi="Symbol"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2" w15:restartNumberingAfterBreak="0">
    <w:nsid w:val="1A961354"/>
    <w:multiLevelType w:val="hybridMultilevel"/>
    <w:tmpl w:val="5B786D6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6321406"/>
    <w:multiLevelType w:val="hybridMultilevel"/>
    <w:tmpl w:val="B234FD92"/>
    <w:lvl w:ilvl="0" w:tplc="40090001">
      <w:start w:val="1"/>
      <w:numFmt w:val="bullet"/>
      <w:lvlText w:val=""/>
      <w:lvlJc w:val="left"/>
      <w:pPr>
        <w:ind w:left="907" w:hanging="360"/>
      </w:pPr>
      <w:rPr>
        <w:rFonts w:ascii="Symbol" w:hAnsi="Symbol"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4"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504BA"/>
    <w:multiLevelType w:val="hybridMultilevel"/>
    <w:tmpl w:val="82D0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220E0"/>
    <w:multiLevelType w:val="hybridMultilevel"/>
    <w:tmpl w:val="D158BD12"/>
    <w:lvl w:ilvl="0" w:tplc="40090001">
      <w:start w:val="1"/>
      <w:numFmt w:val="bullet"/>
      <w:lvlText w:val=""/>
      <w:lvlJc w:val="left"/>
      <w:pPr>
        <w:ind w:left="907" w:hanging="360"/>
      </w:pPr>
      <w:rPr>
        <w:rFonts w:ascii="Symbol" w:hAnsi="Symbol"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7" w15:restartNumberingAfterBreak="0">
    <w:nsid w:val="4F90171E"/>
    <w:multiLevelType w:val="hybridMultilevel"/>
    <w:tmpl w:val="28803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8E0550"/>
    <w:multiLevelType w:val="hybridMultilevel"/>
    <w:tmpl w:val="06C072E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67F312C4"/>
    <w:multiLevelType w:val="hybridMultilevel"/>
    <w:tmpl w:val="4BEAE3D4"/>
    <w:lvl w:ilvl="0" w:tplc="40090001">
      <w:start w:val="1"/>
      <w:numFmt w:val="bullet"/>
      <w:lvlText w:val=""/>
      <w:lvlJc w:val="left"/>
      <w:pPr>
        <w:ind w:left="907" w:hanging="360"/>
      </w:pPr>
      <w:rPr>
        <w:rFonts w:ascii="Symbol" w:hAnsi="Symbol" w:hint="default"/>
      </w:rPr>
    </w:lvl>
    <w:lvl w:ilvl="1" w:tplc="40090003" w:tentative="1">
      <w:start w:val="1"/>
      <w:numFmt w:val="bullet"/>
      <w:lvlText w:val="o"/>
      <w:lvlJc w:val="left"/>
      <w:pPr>
        <w:ind w:left="1627" w:hanging="360"/>
      </w:pPr>
      <w:rPr>
        <w:rFonts w:ascii="Courier New" w:hAnsi="Courier New" w:cs="Courier New" w:hint="default"/>
      </w:rPr>
    </w:lvl>
    <w:lvl w:ilvl="2" w:tplc="40090005" w:tentative="1">
      <w:start w:val="1"/>
      <w:numFmt w:val="bullet"/>
      <w:lvlText w:val=""/>
      <w:lvlJc w:val="left"/>
      <w:pPr>
        <w:ind w:left="2347" w:hanging="360"/>
      </w:pPr>
      <w:rPr>
        <w:rFonts w:ascii="Wingdings" w:hAnsi="Wingdings" w:hint="default"/>
      </w:rPr>
    </w:lvl>
    <w:lvl w:ilvl="3" w:tplc="40090001" w:tentative="1">
      <w:start w:val="1"/>
      <w:numFmt w:val="bullet"/>
      <w:lvlText w:val=""/>
      <w:lvlJc w:val="left"/>
      <w:pPr>
        <w:ind w:left="3067" w:hanging="360"/>
      </w:pPr>
      <w:rPr>
        <w:rFonts w:ascii="Symbol" w:hAnsi="Symbol" w:hint="default"/>
      </w:rPr>
    </w:lvl>
    <w:lvl w:ilvl="4" w:tplc="40090003" w:tentative="1">
      <w:start w:val="1"/>
      <w:numFmt w:val="bullet"/>
      <w:lvlText w:val="o"/>
      <w:lvlJc w:val="left"/>
      <w:pPr>
        <w:ind w:left="3787" w:hanging="360"/>
      </w:pPr>
      <w:rPr>
        <w:rFonts w:ascii="Courier New" w:hAnsi="Courier New" w:cs="Courier New" w:hint="default"/>
      </w:rPr>
    </w:lvl>
    <w:lvl w:ilvl="5" w:tplc="40090005" w:tentative="1">
      <w:start w:val="1"/>
      <w:numFmt w:val="bullet"/>
      <w:lvlText w:val=""/>
      <w:lvlJc w:val="left"/>
      <w:pPr>
        <w:ind w:left="4507" w:hanging="360"/>
      </w:pPr>
      <w:rPr>
        <w:rFonts w:ascii="Wingdings" w:hAnsi="Wingdings" w:hint="default"/>
      </w:rPr>
    </w:lvl>
    <w:lvl w:ilvl="6" w:tplc="40090001" w:tentative="1">
      <w:start w:val="1"/>
      <w:numFmt w:val="bullet"/>
      <w:lvlText w:val=""/>
      <w:lvlJc w:val="left"/>
      <w:pPr>
        <w:ind w:left="5227" w:hanging="360"/>
      </w:pPr>
      <w:rPr>
        <w:rFonts w:ascii="Symbol" w:hAnsi="Symbol" w:hint="default"/>
      </w:rPr>
    </w:lvl>
    <w:lvl w:ilvl="7" w:tplc="40090003" w:tentative="1">
      <w:start w:val="1"/>
      <w:numFmt w:val="bullet"/>
      <w:lvlText w:val="o"/>
      <w:lvlJc w:val="left"/>
      <w:pPr>
        <w:ind w:left="5947" w:hanging="360"/>
      </w:pPr>
      <w:rPr>
        <w:rFonts w:ascii="Courier New" w:hAnsi="Courier New" w:cs="Courier New" w:hint="default"/>
      </w:rPr>
    </w:lvl>
    <w:lvl w:ilvl="8" w:tplc="40090005" w:tentative="1">
      <w:start w:val="1"/>
      <w:numFmt w:val="bullet"/>
      <w:lvlText w:val=""/>
      <w:lvlJc w:val="left"/>
      <w:pPr>
        <w:ind w:left="6667" w:hanging="360"/>
      </w:pPr>
      <w:rPr>
        <w:rFonts w:ascii="Wingdings" w:hAnsi="Wingdings" w:hint="default"/>
      </w:rPr>
    </w:lvl>
  </w:abstractNum>
  <w:abstractNum w:abstractNumId="10"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71BF06D1"/>
    <w:multiLevelType w:val="hybridMultilevel"/>
    <w:tmpl w:val="4E90497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76D80CB4"/>
    <w:multiLevelType w:val="hybridMultilevel"/>
    <w:tmpl w:val="091E3F9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551429652">
    <w:abstractNumId w:val="4"/>
  </w:num>
  <w:num w:numId="2" w16cid:durableId="1606379559">
    <w:abstractNumId w:val="4"/>
  </w:num>
  <w:num w:numId="3" w16cid:durableId="1787118301">
    <w:abstractNumId w:val="10"/>
  </w:num>
  <w:num w:numId="4" w16cid:durableId="240526060">
    <w:abstractNumId w:val="2"/>
  </w:num>
  <w:num w:numId="5" w16cid:durableId="237591190">
    <w:abstractNumId w:val="11"/>
  </w:num>
  <w:num w:numId="6" w16cid:durableId="1369527700">
    <w:abstractNumId w:val="12"/>
  </w:num>
  <w:num w:numId="7" w16cid:durableId="1795294885">
    <w:abstractNumId w:val="8"/>
  </w:num>
  <w:num w:numId="8" w16cid:durableId="1521970926">
    <w:abstractNumId w:val="7"/>
  </w:num>
  <w:num w:numId="9" w16cid:durableId="129445939">
    <w:abstractNumId w:val="5"/>
  </w:num>
  <w:num w:numId="10" w16cid:durableId="138502460">
    <w:abstractNumId w:val="4"/>
  </w:num>
  <w:num w:numId="11" w16cid:durableId="980499533">
    <w:abstractNumId w:val="4"/>
  </w:num>
  <w:num w:numId="12" w16cid:durableId="131481829">
    <w:abstractNumId w:val="4"/>
  </w:num>
  <w:num w:numId="13" w16cid:durableId="1842967799">
    <w:abstractNumId w:val="0"/>
  </w:num>
  <w:num w:numId="14" w16cid:durableId="612175876">
    <w:abstractNumId w:val="1"/>
  </w:num>
  <w:num w:numId="15" w16cid:durableId="1742554153">
    <w:abstractNumId w:val="3"/>
  </w:num>
  <w:num w:numId="16" w16cid:durableId="213658931">
    <w:abstractNumId w:val="6"/>
  </w:num>
  <w:num w:numId="17" w16cid:durableId="680159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4"/>
    <w:rsid w:val="00006773"/>
    <w:rsid w:val="00024513"/>
    <w:rsid w:val="000379DD"/>
    <w:rsid w:val="00097AD1"/>
    <w:rsid w:val="000B061E"/>
    <w:rsid w:val="000B11EC"/>
    <w:rsid w:val="000B1A0D"/>
    <w:rsid w:val="000B4B67"/>
    <w:rsid w:val="000C18EB"/>
    <w:rsid w:val="000C29AC"/>
    <w:rsid w:val="000E4F65"/>
    <w:rsid w:val="00104B1B"/>
    <w:rsid w:val="001050AD"/>
    <w:rsid w:val="001402E3"/>
    <w:rsid w:val="0015144C"/>
    <w:rsid w:val="00164C17"/>
    <w:rsid w:val="00172CC2"/>
    <w:rsid w:val="001A55C1"/>
    <w:rsid w:val="001F0247"/>
    <w:rsid w:val="001F4BCA"/>
    <w:rsid w:val="00210D8F"/>
    <w:rsid w:val="00231402"/>
    <w:rsid w:val="002437FB"/>
    <w:rsid w:val="002644F0"/>
    <w:rsid w:val="002935FA"/>
    <w:rsid w:val="002C5CD4"/>
    <w:rsid w:val="003346F1"/>
    <w:rsid w:val="003453DB"/>
    <w:rsid w:val="003567CB"/>
    <w:rsid w:val="003A0863"/>
    <w:rsid w:val="003A7615"/>
    <w:rsid w:val="003B7CA7"/>
    <w:rsid w:val="003C6FAB"/>
    <w:rsid w:val="003F0584"/>
    <w:rsid w:val="00406DF2"/>
    <w:rsid w:val="00407CAE"/>
    <w:rsid w:val="0043116F"/>
    <w:rsid w:val="00463441"/>
    <w:rsid w:val="00466CB5"/>
    <w:rsid w:val="00485CD4"/>
    <w:rsid w:val="00494052"/>
    <w:rsid w:val="004C179B"/>
    <w:rsid w:val="004E6DB8"/>
    <w:rsid w:val="00564019"/>
    <w:rsid w:val="005A085D"/>
    <w:rsid w:val="005B133D"/>
    <w:rsid w:val="005C0050"/>
    <w:rsid w:val="005E07A7"/>
    <w:rsid w:val="005E4743"/>
    <w:rsid w:val="00632B93"/>
    <w:rsid w:val="00641691"/>
    <w:rsid w:val="006509F8"/>
    <w:rsid w:val="0066057A"/>
    <w:rsid w:val="006645A7"/>
    <w:rsid w:val="006F3C58"/>
    <w:rsid w:val="00726A8C"/>
    <w:rsid w:val="00731159"/>
    <w:rsid w:val="0073330E"/>
    <w:rsid w:val="00750726"/>
    <w:rsid w:val="00753DED"/>
    <w:rsid w:val="00761CCD"/>
    <w:rsid w:val="00784E61"/>
    <w:rsid w:val="007C0DA6"/>
    <w:rsid w:val="007E5D2A"/>
    <w:rsid w:val="007E7459"/>
    <w:rsid w:val="00811479"/>
    <w:rsid w:val="008266F2"/>
    <w:rsid w:val="00831D47"/>
    <w:rsid w:val="00840D5D"/>
    <w:rsid w:val="00841C1A"/>
    <w:rsid w:val="00844AF9"/>
    <w:rsid w:val="008975A4"/>
    <w:rsid w:val="008D35C1"/>
    <w:rsid w:val="008D7D5C"/>
    <w:rsid w:val="009217F5"/>
    <w:rsid w:val="00954B1E"/>
    <w:rsid w:val="00973CE1"/>
    <w:rsid w:val="00977A3D"/>
    <w:rsid w:val="009809C7"/>
    <w:rsid w:val="009A6E99"/>
    <w:rsid w:val="009D4F8B"/>
    <w:rsid w:val="00A00FCD"/>
    <w:rsid w:val="00A01F1D"/>
    <w:rsid w:val="00A074C7"/>
    <w:rsid w:val="00A1608E"/>
    <w:rsid w:val="00A342CE"/>
    <w:rsid w:val="00A57DF6"/>
    <w:rsid w:val="00A9442D"/>
    <w:rsid w:val="00AA1A08"/>
    <w:rsid w:val="00AB56CE"/>
    <w:rsid w:val="00AB71E2"/>
    <w:rsid w:val="00AC4413"/>
    <w:rsid w:val="00AD6803"/>
    <w:rsid w:val="00AE3A61"/>
    <w:rsid w:val="00B14A49"/>
    <w:rsid w:val="00B15E18"/>
    <w:rsid w:val="00B23D0F"/>
    <w:rsid w:val="00B34BD9"/>
    <w:rsid w:val="00B4347D"/>
    <w:rsid w:val="00B517C2"/>
    <w:rsid w:val="00B6594D"/>
    <w:rsid w:val="00B76949"/>
    <w:rsid w:val="00B9767A"/>
    <w:rsid w:val="00BC1FC8"/>
    <w:rsid w:val="00BF2347"/>
    <w:rsid w:val="00BF38FA"/>
    <w:rsid w:val="00C04E2C"/>
    <w:rsid w:val="00C343BD"/>
    <w:rsid w:val="00C51AA5"/>
    <w:rsid w:val="00C71B2B"/>
    <w:rsid w:val="00C916E3"/>
    <w:rsid w:val="00CA2486"/>
    <w:rsid w:val="00D14628"/>
    <w:rsid w:val="00D31B3F"/>
    <w:rsid w:val="00D5370D"/>
    <w:rsid w:val="00D6057E"/>
    <w:rsid w:val="00D65701"/>
    <w:rsid w:val="00D715B7"/>
    <w:rsid w:val="00D73EDF"/>
    <w:rsid w:val="00D82BFC"/>
    <w:rsid w:val="00D85ABA"/>
    <w:rsid w:val="00D94879"/>
    <w:rsid w:val="00DA5F8D"/>
    <w:rsid w:val="00DB16AE"/>
    <w:rsid w:val="00DD0F8D"/>
    <w:rsid w:val="00DF2134"/>
    <w:rsid w:val="00E0577A"/>
    <w:rsid w:val="00E06759"/>
    <w:rsid w:val="00E0746A"/>
    <w:rsid w:val="00E356D6"/>
    <w:rsid w:val="00E41F9F"/>
    <w:rsid w:val="00E91544"/>
    <w:rsid w:val="00EA1774"/>
    <w:rsid w:val="00EB0CD2"/>
    <w:rsid w:val="00EE2AC3"/>
    <w:rsid w:val="00F00F21"/>
    <w:rsid w:val="00F171A1"/>
    <w:rsid w:val="00F25ED0"/>
    <w:rsid w:val="00F27D0F"/>
    <w:rsid w:val="00F35016"/>
    <w:rsid w:val="00F74A20"/>
    <w:rsid w:val="00F96D3F"/>
    <w:rsid w:val="00FA4BF0"/>
    <w:rsid w:val="00FB2BBE"/>
    <w:rsid w:val="00FD1ADC"/>
    <w:rsid w:val="00FE53F3"/>
    <w:rsid w:val="00FE7AA2"/>
    <w:rsid w:val="00FF6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8EEE"/>
  <w15:chartTrackingRefBased/>
  <w15:docId w15:val="{622454F1-0593-4BE3-991A-29E86D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B6594D"/>
    <w:rPr>
      <w:rFonts w:ascii="Century" w:hAnsi="Century" w:cs="Arial"/>
      <w:b/>
      <w:bCs/>
      <w:color w:val="0F5581"/>
      <w:sz w:val="40"/>
      <w:szCs w:val="40"/>
    </w:rPr>
  </w:style>
  <w:style w:type="character" w:customStyle="1" w:styleId="TitleChar">
    <w:name w:val="Title Char"/>
    <w:basedOn w:val="DefaultParagraphFont"/>
    <w:link w:val="Title"/>
    <w:uiPriority w:val="10"/>
    <w:rsid w:val="00B6594D"/>
    <w:rPr>
      <w:rFonts w:ascii="Century" w:hAnsi="Century" w:cs="Arial"/>
      <w:b/>
      <w:bCs/>
      <w:color w:val="0F5581"/>
      <w:sz w:val="40"/>
      <w:szCs w:val="40"/>
    </w:rPr>
  </w:style>
  <w:style w:type="paragraph" w:styleId="Subtitle">
    <w:name w:val="Subtitle"/>
    <w:basedOn w:val="Normal"/>
    <w:next w:val="Normal"/>
    <w:link w:val="SubtitleChar"/>
    <w:uiPriority w:val="11"/>
    <w:qFormat/>
    <w:rsid w:val="00B6594D"/>
    <w:pPr>
      <w:spacing w:before="120"/>
    </w:pPr>
    <w:rPr>
      <w:rFonts w:ascii="Century" w:hAnsi="Century"/>
      <w:color w:val="0F5581"/>
      <w:sz w:val="24"/>
      <w:szCs w:val="24"/>
    </w:rPr>
  </w:style>
  <w:style w:type="character" w:customStyle="1" w:styleId="SubtitleChar">
    <w:name w:val="Subtitle Char"/>
    <w:basedOn w:val="DefaultParagraphFont"/>
    <w:link w:val="Subtitle"/>
    <w:uiPriority w:val="11"/>
    <w:rsid w:val="00B6594D"/>
    <w:rPr>
      <w:rFonts w:ascii="Century" w:hAnsi="Century"/>
      <w:color w:val="0F5581"/>
      <w:sz w:val="24"/>
      <w:szCs w:val="24"/>
    </w:rPr>
  </w:style>
  <w:style w:type="paragraph" w:customStyle="1" w:styleId="ContactInfo">
    <w:name w:val="Contact Info"/>
    <w:basedOn w:val="Normal"/>
    <w:qFormat/>
    <w:rsid w:val="00B6594D"/>
    <w:pPr>
      <w:autoSpaceDE w:val="0"/>
      <w:autoSpaceDN w:val="0"/>
      <w:adjustRightInd w:val="0"/>
      <w:jc w:val="right"/>
    </w:pPr>
    <w:rPr>
      <w:rFonts w:ascii="Franklin Gothic Book" w:hAnsi="Franklin Gothic Book" w:cs="FranklinGothicURW-Boo"/>
      <w:color w:val="0F5581"/>
      <w:sz w:val="20"/>
      <w:szCs w:val="20"/>
    </w:rPr>
  </w:style>
  <w:style w:type="paragraph" w:customStyle="1" w:styleId="Summary">
    <w:name w:val="Summary"/>
    <w:basedOn w:val="Normal"/>
    <w:qFormat/>
    <w:rsid w:val="00B6594D"/>
    <w:pPr>
      <w:spacing w:line="264" w:lineRule="auto"/>
    </w:pPr>
    <w:rPr>
      <w:rFonts w:ascii="Franklin Gothic Book" w:hAnsi="Franklin Gothic Book" w:cs="FranklinGothicURW-Boo"/>
      <w:color w:val="0F5581"/>
      <w:sz w:val="20"/>
      <w:szCs w:val="20"/>
    </w:rPr>
  </w:style>
  <w:style w:type="paragraph" w:customStyle="1" w:styleId="HiddenTitle">
    <w:name w:val="Hidden Title"/>
    <w:basedOn w:val="Normal"/>
    <w:qFormat/>
    <w:rsid w:val="00753DED"/>
    <w:rPr>
      <w:rFonts w:ascii="Corbel" w:hAnsi="Corbel"/>
      <w:color w:val="FFFFFF" w:themeColor="background1"/>
    </w:rPr>
  </w:style>
  <w:style w:type="paragraph" w:customStyle="1" w:styleId="SectionHeading">
    <w:name w:val="Section Heading"/>
    <w:basedOn w:val="Normal"/>
    <w:qFormat/>
    <w:rsid w:val="00D31B3F"/>
    <w:pPr>
      <w:spacing w:before="480" w:after="240"/>
    </w:pPr>
    <w:rPr>
      <w:rFonts w:ascii="Century" w:hAnsi="Century" w:cs="Arial"/>
      <w:b/>
      <w:bCs/>
      <w:color w:val="0F5581"/>
      <w:sz w:val="28"/>
      <w:szCs w:val="28"/>
    </w:rPr>
  </w:style>
  <w:style w:type="paragraph" w:customStyle="1" w:styleId="AoEBullet">
    <w:name w:val="AoE Bullet"/>
    <w:basedOn w:val="ListParagraph"/>
    <w:qFormat/>
    <w:rsid w:val="00B6594D"/>
    <w:pPr>
      <w:numPr>
        <w:numId w:val="3"/>
      </w:numPr>
      <w:ind w:left="255" w:hanging="270"/>
    </w:pPr>
    <w:rPr>
      <w:rFonts w:ascii="Franklin Gothic Book" w:hAnsi="Franklin Gothic Book"/>
      <w:sz w:val="20"/>
      <w:szCs w:val="20"/>
    </w:rPr>
  </w:style>
  <w:style w:type="paragraph" w:customStyle="1" w:styleId="TechHeader">
    <w:name w:val="Tech Header"/>
    <w:basedOn w:val="Normal"/>
    <w:qFormat/>
    <w:rsid w:val="00B6594D"/>
    <w:pPr>
      <w:spacing w:before="120"/>
    </w:pPr>
    <w:rPr>
      <w:rFonts w:ascii="Franklin Gothic Book" w:hAnsi="Franklin Gothic Book" w:cs="FranklinGothicURW-Boo"/>
      <w:b/>
      <w:bCs/>
      <w:color w:val="0F5581"/>
      <w:sz w:val="20"/>
      <w:szCs w:val="20"/>
    </w:rPr>
  </w:style>
  <w:style w:type="paragraph" w:customStyle="1" w:styleId="TechInfo">
    <w:name w:val="Tech Info"/>
    <w:basedOn w:val="Normal"/>
    <w:qFormat/>
    <w:rsid w:val="00753DED"/>
    <w:pPr>
      <w:spacing w:before="120"/>
    </w:pPr>
    <w:rPr>
      <w:rFonts w:ascii="Corbel" w:hAnsi="Corbel" w:cs="FranklinGothicURW-Boo"/>
      <w:sz w:val="20"/>
      <w:szCs w:val="20"/>
    </w:rPr>
  </w:style>
  <w:style w:type="paragraph" w:customStyle="1" w:styleId="CompanyBlock">
    <w:name w:val="Company Block"/>
    <w:basedOn w:val="Normal"/>
    <w:qFormat/>
    <w:rsid w:val="00B6594D"/>
    <w:pPr>
      <w:tabs>
        <w:tab w:val="right" w:pos="10800"/>
      </w:tabs>
      <w:spacing w:before="360"/>
    </w:pPr>
    <w:rPr>
      <w:rFonts w:ascii="Franklin Gothic Book" w:hAnsi="Franklin Gothic Book"/>
      <w:b/>
      <w:bCs/>
      <w:color w:val="0F5581"/>
      <w:sz w:val="20"/>
      <w:szCs w:val="20"/>
    </w:rPr>
  </w:style>
  <w:style w:type="paragraph" w:customStyle="1" w:styleId="JobTitleBlock">
    <w:name w:val="Job Title Block"/>
    <w:basedOn w:val="Normal"/>
    <w:qFormat/>
    <w:rsid w:val="00B6594D"/>
    <w:pPr>
      <w:tabs>
        <w:tab w:val="right" w:pos="10800"/>
      </w:tabs>
      <w:spacing w:after="180"/>
      <w:ind w:left="187"/>
      <w:contextualSpacing/>
    </w:pPr>
    <w:rPr>
      <w:rFonts w:ascii="Franklin Gothic Book" w:hAnsi="Franklin Gothic Book"/>
      <w:b/>
      <w:bCs/>
      <w:color w:val="0F5581"/>
      <w:sz w:val="20"/>
      <w:szCs w:val="20"/>
    </w:rPr>
  </w:style>
  <w:style w:type="paragraph" w:customStyle="1" w:styleId="JobDescription">
    <w:name w:val="Job Description"/>
    <w:basedOn w:val="Normal"/>
    <w:qFormat/>
    <w:rsid w:val="00B6594D"/>
    <w:pPr>
      <w:tabs>
        <w:tab w:val="right" w:pos="7155"/>
      </w:tabs>
      <w:spacing w:after="180"/>
      <w:ind w:left="187"/>
      <w:contextualSpacing/>
    </w:pPr>
    <w:rPr>
      <w:rFonts w:ascii="Franklin Gothic Book" w:hAnsi="Franklin Gothic Book" w:cs="FranklinGothicURW-Boo"/>
      <w:sz w:val="20"/>
      <w:szCs w:val="20"/>
    </w:rPr>
  </w:style>
  <w:style w:type="paragraph" w:customStyle="1" w:styleId="JDAccomplishment">
    <w:name w:val="JD Accomplishment"/>
    <w:basedOn w:val="ListParagraph"/>
    <w:qFormat/>
    <w:rsid w:val="00B6594D"/>
    <w:pPr>
      <w:spacing w:after="240"/>
      <w:ind w:left="461" w:hanging="274"/>
    </w:pPr>
    <w:rPr>
      <w:rFonts w:ascii="Franklin Gothic Book" w:hAnsi="Franklin Gothic Book"/>
      <w:sz w:val="20"/>
      <w:szCs w:val="20"/>
    </w:rPr>
  </w:style>
  <w:style w:type="paragraph" w:customStyle="1" w:styleId="EduDegree">
    <w:name w:val="Edu Degree"/>
    <w:basedOn w:val="Normal"/>
    <w:qFormat/>
    <w:rsid w:val="00B6594D"/>
    <w:pPr>
      <w:ind w:left="-14"/>
    </w:pPr>
    <w:rPr>
      <w:rFonts w:ascii="Franklin Gothic Book" w:hAnsi="Franklin Gothic Book"/>
      <w:b/>
      <w:bCs/>
      <w:color w:val="1F4E79" w:themeColor="accent5" w:themeShade="80"/>
      <w:sz w:val="20"/>
      <w:szCs w:val="20"/>
    </w:rPr>
  </w:style>
  <w:style w:type="paragraph" w:customStyle="1" w:styleId="EduInfo">
    <w:name w:val="Edu Info"/>
    <w:basedOn w:val="Normal"/>
    <w:qFormat/>
    <w:rsid w:val="00B6594D"/>
    <w:pPr>
      <w:spacing w:after="120"/>
      <w:ind w:left="187"/>
      <w:contextualSpacing/>
    </w:pPr>
    <w:rPr>
      <w:rFonts w:ascii="Franklin Gothic Book" w:hAnsi="Franklin Gothic Book"/>
      <w:sz w:val="20"/>
      <w:szCs w:val="20"/>
    </w:rPr>
  </w:style>
  <w:style w:type="paragraph" w:customStyle="1" w:styleId="AdditionalList">
    <w:name w:val="Additional List"/>
    <w:basedOn w:val="ListParagraph"/>
    <w:qFormat/>
    <w:rsid w:val="00F00F21"/>
    <w:pPr>
      <w:numPr>
        <w:numId w:val="1"/>
      </w:numPr>
    </w:pPr>
    <w:rPr>
      <w:rFonts w:ascii="Franklin Gothic Book" w:hAnsi="Franklin Gothic Book"/>
      <w:sz w:val="20"/>
      <w:szCs w:val="20"/>
    </w:rPr>
  </w:style>
  <w:style w:type="character" w:styleId="Hyperlink">
    <w:name w:val="Hyperlink"/>
    <w:basedOn w:val="DefaultParagraphFont"/>
    <w:uiPriority w:val="99"/>
    <w:unhideWhenUsed/>
    <w:rsid w:val="00463441"/>
    <w:rPr>
      <w:color w:val="0563C1" w:themeColor="hyperlink"/>
      <w:u w:val="single"/>
    </w:rPr>
  </w:style>
  <w:style w:type="character" w:styleId="UnresolvedMention">
    <w:name w:val="Unresolved Mention"/>
    <w:basedOn w:val="DefaultParagraphFont"/>
    <w:uiPriority w:val="99"/>
    <w:semiHidden/>
    <w:unhideWhenUsed/>
    <w:rsid w:val="00463441"/>
    <w:rPr>
      <w:color w:val="605E5C"/>
      <w:shd w:val="clear" w:color="auto" w:fill="E1DFDD"/>
    </w:rPr>
  </w:style>
  <w:style w:type="paragraph" w:styleId="BodyText">
    <w:name w:val="Body Text"/>
    <w:basedOn w:val="Normal"/>
    <w:link w:val="BodyTextChar"/>
    <w:uiPriority w:val="1"/>
    <w:qFormat/>
    <w:rsid w:val="00463441"/>
    <w:pPr>
      <w:widowControl w:val="0"/>
      <w:autoSpaceDE w:val="0"/>
      <w:autoSpaceDN w:val="0"/>
      <w:ind w:left="46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63441"/>
    <w:rPr>
      <w:rFonts w:ascii="Times New Roman" w:eastAsia="Times New Roman" w:hAnsi="Times New Roman" w:cs="Times New Roman"/>
      <w:sz w:val="20"/>
      <w:szCs w:val="20"/>
    </w:rPr>
  </w:style>
  <w:style w:type="table" w:styleId="PlainTable4">
    <w:name w:val="Plain Table 4"/>
    <w:basedOn w:val="TableNormal"/>
    <w:uiPriority w:val="44"/>
    <w:rsid w:val="004634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0B1A0D"/>
  </w:style>
  <w:style w:type="character" w:styleId="FollowedHyperlink">
    <w:name w:val="FollowedHyperlink"/>
    <w:basedOn w:val="DefaultParagraphFont"/>
    <w:uiPriority w:val="99"/>
    <w:semiHidden/>
    <w:unhideWhenUsed/>
    <w:rsid w:val="00CA2486"/>
    <w:rPr>
      <w:color w:val="954F72" w:themeColor="followedHyperlink"/>
      <w:u w:val="single"/>
    </w:rPr>
  </w:style>
  <w:style w:type="paragraph" w:styleId="NormalWeb">
    <w:name w:val="Normal (Web)"/>
    <w:basedOn w:val="Normal"/>
    <w:uiPriority w:val="99"/>
    <w:semiHidden/>
    <w:unhideWhenUsed/>
    <w:rsid w:val="003A761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arrin-mangiacarne-do-mph-cpe-mro-dfasam-27296b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10550887.2025.2536889" TargetMode="External"/><Relationship Id="rId4" Type="http://schemas.openxmlformats.org/officeDocument/2006/relationships/settings" Target="settings.xml"/><Relationship Id="rId9" Type="http://schemas.openxmlformats.org/officeDocument/2006/relationships/hyperlink" Target="https://doi.org/10.1080/10550887.2025.2465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018B-3729-459E-B440-F53B172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10537</Characters>
  <Application>Microsoft Office Word</Application>
  <DocSecurity>0</DocSecurity>
  <Lines>363</Lines>
  <Paragraphs>322</Paragraphs>
  <ScaleCrop>false</ScaleCrop>
  <HeadingPairs>
    <vt:vector size="2" baseType="variant">
      <vt:variant>
        <vt:lpstr>Title</vt:lpstr>
      </vt:variant>
      <vt:variant>
        <vt:i4>1</vt:i4>
      </vt:variant>
    </vt:vector>
  </HeadingPairs>
  <TitlesOfParts>
    <vt:vector size="1" baseType="lpstr">
      <vt:lpstr>DARRIN MANGIACARNE's Resume</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DARRIN MANGIACARNE's Resume</dc:title>
  <dc:creator>DARRIN MANGIACARNE</dc:creator>
  <cp:lastModifiedBy>Darrin Mangiacarne, DO, MPH, DFASAM, FAOAAM</cp:lastModifiedBy>
  <cp:revision>2</cp:revision>
  <cp:lastPrinted>2020-07-27T20:04:00Z</cp:lastPrinted>
  <dcterms:created xsi:type="dcterms:W3CDTF">2026-05-13T17:01:00Z</dcterms:created>
  <dcterms:modified xsi:type="dcterms:W3CDTF">2026-05-13T17:01:00Z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VIMo2-v1</vt:lpwstr>
  </property>
  <property fmtid="{D5CDD505-2E9C-101B-9397-08002B2CF9AE}" pid="3" name="tal_id">
    <vt:lpwstr>faf1d448bddb128859142e3bdcfececa</vt:lpwstr>
  </property>
  <property fmtid="{D5CDD505-2E9C-101B-9397-08002B2CF9AE}" pid="4" name="app_source">
    <vt:lpwstr>rezbiz</vt:lpwstr>
  </property>
  <property fmtid="{D5CDD505-2E9C-101B-9397-08002B2CF9AE}" pid="5" name="app_id">
    <vt:lpwstr>740058</vt:lpwstr>
  </property>
  <property fmtid="{D5CDD505-2E9C-101B-9397-08002B2CF9AE}" pid="6" name="MSIP_Label_30be250a-214a-43ab-9416-135e843efad6_Enabled">
    <vt:lpwstr>true</vt:lpwstr>
  </property>
  <property fmtid="{D5CDD505-2E9C-101B-9397-08002B2CF9AE}" pid="7" name="MSIP_Label_30be250a-214a-43ab-9416-135e843efad6_SetDate">
    <vt:lpwstr>2025-06-25T00:03:28Z</vt:lpwstr>
  </property>
  <property fmtid="{D5CDD505-2E9C-101B-9397-08002B2CF9AE}" pid="8" name="MSIP_Label_30be250a-214a-43ab-9416-135e843efad6_Method">
    <vt:lpwstr>Standard</vt:lpwstr>
  </property>
  <property fmtid="{D5CDD505-2E9C-101B-9397-08002B2CF9AE}" pid="9" name="MSIP_Label_30be250a-214a-43ab-9416-135e843efad6_Name">
    <vt:lpwstr>General</vt:lpwstr>
  </property>
  <property fmtid="{D5CDD505-2E9C-101B-9397-08002B2CF9AE}" pid="10" name="MSIP_Label_30be250a-214a-43ab-9416-135e843efad6_SiteId">
    <vt:lpwstr>3dc3e119-7cdf-4bd6-b251-ca019fec5e9d</vt:lpwstr>
  </property>
  <property fmtid="{D5CDD505-2E9C-101B-9397-08002B2CF9AE}" pid="11" name="MSIP_Label_30be250a-214a-43ab-9416-135e843efad6_ActionId">
    <vt:lpwstr>065a59c6-23ee-4f6b-b98c-55aff953ee3e</vt:lpwstr>
  </property>
  <property fmtid="{D5CDD505-2E9C-101B-9397-08002B2CF9AE}" pid="12" name="MSIP_Label_30be250a-214a-43ab-9416-135e843efad6_ContentBits">
    <vt:lpwstr>0</vt:lpwstr>
  </property>
  <property fmtid="{D5CDD505-2E9C-101B-9397-08002B2CF9AE}" pid="13" name="MSIP_Label_30be250a-214a-43ab-9416-135e843efad6_Tag">
    <vt:lpwstr>50, 3, 0, 1</vt:lpwstr>
  </property>
</Properties>
</file>