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C18AE" w14:textId="77777777" w:rsidR="007E4CB6" w:rsidRPr="00152034" w:rsidRDefault="007E4CB6" w:rsidP="007E4CB6">
      <w:pPr>
        <w:spacing w:after="120" w:line="240" w:lineRule="auto"/>
        <w:ind w:left="2880"/>
        <w:rPr>
          <w:rFonts w:cs="Arial"/>
          <w:i/>
        </w:rPr>
      </w:pPr>
      <w:r w:rsidRPr="00152034">
        <w:rPr>
          <w:rFonts w:cs="Arial"/>
          <w:i/>
        </w:rPr>
        <w:t xml:space="preserve">  </w:t>
      </w:r>
      <w:r w:rsidRPr="00152034">
        <w:rPr>
          <w:rFonts w:cs="Arial"/>
          <w:i/>
        </w:rPr>
        <w:tab/>
      </w:r>
      <w:r w:rsidRPr="00152034">
        <w:rPr>
          <w:rFonts w:cs="Arial"/>
          <w:i/>
        </w:rPr>
        <w:tab/>
      </w:r>
      <w:r w:rsidRPr="00152034">
        <w:rPr>
          <w:rFonts w:cs="Arial"/>
          <w:i/>
        </w:rPr>
        <w:tab/>
        <w:t xml:space="preserve">   Curriculum Vitae</w:t>
      </w:r>
    </w:p>
    <w:p w14:paraId="4ECBA6D9" w14:textId="77777777" w:rsidR="007E4CB6" w:rsidRPr="00152034" w:rsidRDefault="007E4CB6" w:rsidP="007E4CB6">
      <w:pPr>
        <w:spacing w:after="120" w:line="240" w:lineRule="auto"/>
        <w:jc w:val="center"/>
        <w:rPr>
          <w:rFonts w:cs="Arial"/>
          <w:sz w:val="26"/>
          <w:szCs w:val="26"/>
        </w:rPr>
      </w:pPr>
      <w:r w:rsidRPr="00152034">
        <w:rPr>
          <w:rFonts w:eastAsia="Times New Roman" w:cs="Arial"/>
          <w:noProof/>
        </w:rPr>
        <w:drawing>
          <wp:anchor distT="0" distB="0" distL="114300" distR="114300" simplePos="0" relativeHeight="251659264" behindDoc="0" locked="0" layoutInCell="1" allowOverlap="1" wp14:anchorId="7C59C598" wp14:editId="1AFE41F2">
            <wp:simplePos x="0" y="0"/>
            <wp:positionH relativeFrom="margin">
              <wp:posOffset>91440</wp:posOffset>
            </wp:positionH>
            <wp:positionV relativeFrom="paragraph">
              <wp:posOffset>40005</wp:posOffset>
            </wp:positionV>
            <wp:extent cx="1067435" cy="1144270"/>
            <wp:effectExtent l="0" t="0" r="0" b="0"/>
            <wp:wrapThrough wrapText="bothSides">
              <wp:wrapPolygon edited="0">
                <wp:start x="0" y="0"/>
                <wp:lineTo x="0" y="21216"/>
                <wp:lineTo x="21202" y="21216"/>
                <wp:lineTo x="212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7435" cy="1144270"/>
                    </a:xfrm>
                    <a:prstGeom prst="rect">
                      <a:avLst/>
                    </a:prstGeom>
                  </pic:spPr>
                </pic:pic>
              </a:graphicData>
            </a:graphic>
            <wp14:sizeRelH relativeFrom="page">
              <wp14:pctWidth>0</wp14:pctWidth>
            </wp14:sizeRelH>
            <wp14:sizeRelV relativeFrom="page">
              <wp14:pctHeight>0</wp14:pctHeight>
            </wp14:sizeRelV>
          </wp:anchor>
        </w:drawing>
      </w:r>
      <w:r w:rsidRPr="00152034">
        <w:rPr>
          <w:rFonts w:cs="Arial"/>
          <w:sz w:val="24"/>
          <w:szCs w:val="26"/>
        </w:rPr>
        <w:t xml:space="preserve">Michael C. Head, </w:t>
      </w:r>
      <w:r>
        <w:rPr>
          <w:rFonts w:cs="Arial"/>
          <w:sz w:val="24"/>
          <w:szCs w:val="26"/>
        </w:rPr>
        <w:t>PE, S</w:t>
      </w:r>
      <w:r w:rsidRPr="00152034">
        <w:rPr>
          <w:rFonts w:cs="Arial"/>
          <w:sz w:val="24"/>
          <w:szCs w:val="26"/>
        </w:rPr>
        <w:t>E</w:t>
      </w:r>
      <w:r>
        <w:rPr>
          <w:rFonts w:cs="Arial"/>
          <w:sz w:val="24"/>
          <w:szCs w:val="26"/>
        </w:rPr>
        <w:t>, LEED AP BD+C</w:t>
      </w:r>
    </w:p>
    <w:p w14:paraId="75CCB24A" w14:textId="77777777" w:rsidR="007E4CB6" w:rsidRPr="00152034" w:rsidRDefault="007E4CB6" w:rsidP="007E4CB6">
      <w:pPr>
        <w:spacing w:after="0" w:line="240" w:lineRule="auto"/>
        <w:rPr>
          <w:rFonts w:cs="Arial"/>
          <w:sz w:val="10"/>
          <w:szCs w:val="10"/>
        </w:rPr>
      </w:pPr>
    </w:p>
    <w:p w14:paraId="48E0AA75" w14:textId="77777777" w:rsidR="007E4CB6" w:rsidRPr="00152034" w:rsidRDefault="007E4CB6" w:rsidP="007E4CB6">
      <w:pPr>
        <w:spacing w:after="120" w:line="240" w:lineRule="auto"/>
        <w:rPr>
          <w:rFonts w:eastAsia="Calibri" w:cstheme="minorHAnsi"/>
        </w:rPr>
      </w:pPr>
      <w:r w:rsidRPr="00152034">
        <w:rPr>
          <w:rStyle w:val="Emphasis"/>
          <w:rFonts w:cs="Arial"/>
          <w:b/>
          <w:i w:val="0"/>
          <w:sz w:val="26"/>
          <w:szCs w:val="26"/>
          <w:u w:val="single"/>
        </w:rPr>
        <w:t>​</w:t>
      </w:r>
      <w:bookmarkStart w:id="0" w:name="_Hlk62038940"/>
      <w:r w:rsidRPr="00152034">
        <w:rPr>
          <w:rFonts w:eastAsia="Calibri" w:cstheme="minorHAnsi"/>
        </w:rPr>
        <w:t xml:space="preserve">Mr. Head has more than 40 years of structural engineering analysis, design and project/ construction management experience throughout the United States and Saudi Arabia ranging from the design of new facilities, strengthening, renovation, retrofitting and repair of existing structures in the GMP, Design/Bid and Design/Bid/Build delivery methods and conducting forensic investigations as an expert witness.  </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10"/>
      </w:tblGrid>
      <w:tr w:rsidR="007E4CB6" w:rsidRPr="00152034" w14:paraId="77048372" w14:textId="77777777" w:rsidTr="003D2F63">
        <w:tc>
          <w:tcPr>
            <w:tcW w:w="4248" w:type="dxa"/>
          </w:tcPr>
          <w:p w14:paraId="6DF821CB" w14:textId="77777777" w:rsidR="007E4CB6" w:rsidRPr="00152034" w:rsidRDefault="007E4CB6" w:rsidP="003D2F63">
            <w:pPr>
              <w:spacing w:after="60"/>
              <w:rPr>
                <w:rFonts w:eastAsia="Calibri" w:cstheme="minorHAnsi"/>
              </w:rPr>
            </w:pPr>
            <w:r w:rsidRPr="00152034">
              <w:rPr>
                <w:rFonts w:eastAsia="Calibri" w:cstheme="minorHAnsi"/>
              </w:rPr>
              <w:t>Services provided include:</w:t>
            </w:r>
          </w:p>
          <w:p w14:paraId="63355A09"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Forensic Engineering and Analysis</w:t>
            </w:r>
          </w:p>
          <w:p w14:paraId="10CBFDB0"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Expert Witness</w:t>
            </w:r>
          </w:p>
          <w:p w14:paraId="7CD00A6C"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Failure Investigations</w:t>
            </w:r>
          </w:p>
          <w:p w14:paraId="542CC7FF"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Construction Administration Assistance</w:t>
            </w:r>
          </w:p>
          <w:p w14:paraId="550157BA"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Property Condition Assessments (PCA’s)</w:t>
            </w:r>
          </w:p>
          <w:p w14:paraId="2F8F6F76"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Structural Peer Reviews</w:t>
            </w:r>
          </w:p>
          <w:p w14:paraId="2CB3C322" w14:textId="77777777" w:rsidR="007E4CB6" w:rsidRPr="00465277" w:rsidRDefault="007E4CB6" w:rsidP="007E4CB6">
            <w:pPr>
              <w:pStyle w:val="ListParagraph"/>
              <w:numPr>
                <w:ilvl w:val="0"/>
                <w:numId w:val="20"/>
              </w:numPr>
              <w:ind w:left="156" w:hanging="156"/>
              <w:rPr>
                <w:rFonts w:eastAsia="Calibri" w:cstheme="minorHAnsi"/>
              </w:rPr>
            </w:pPr>
            <w:r w:rsidRPr="00465277">
              <w:rPr>
                <w:rFonts w:eastAsia="Calibri" w:cstheme="minorHAnsi"/>
              </w:rPr>
              <w:t>Building Code Review and Interpretation</w:t>
            </w:r>
          </w:p>
          <w:p w14:paraId="0751AAD9" w14:textId="77777777" w:rsidR="007E4CB6" w:rsidRPr="00465277" w:rsidRDefault="007E4CB6" w:rsidP="003D2F63">
            <w:pPr>
              <w:rPr>
                <w:rFonts w:eastAsia="Calibri" w:cstheme="minorHAnsi"/>
                <w:sz w:val="20"/>
                <w:szCs w:val="20"/>
              </w:rPr>
            </w:pPr>
          </w:p>
        </w:tc>
        <w:tc>
          <w:tcPr>
            <w:tcW w:w="5310" w:type="dxa"/>
          </w:tcPr>
          <w:p w14:paraId="631402D9" w14:textId="77777777" w:rsidR="007E4CB6" w:rsidRPr="00152034" w:rsidRDefault="007E4CB6" w:rsidP="003D2F63">
            <w:pPr>
              <w:spacing w:after="60"/>
              <w:rPr>
                <w:rFonts w:eastAsia="Calibri" w:cstheme="minorHAnsi"/>
              </w:rPr>
            </w:pPr>
            <w:r w:rsidRPr="00152034">
              <w:rPr>
                <w:rFonts w:eastAsia="Calibri" w:cstheme="minorHAnsi"/>
              </w:rPr>
              <w:t>Areas of Expertise include:</w:t>
            </w:r>
          </w:p>
          <w:p w14:paraId="11BE2BA2"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Structural Design (Concrete, Steel, Foundations, etc.)</w:t>
            </w:r>
          </w:p>
          <w:p w14:paraId="479C8F70"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Construction Accidents and Defects</w:t>
            </w:r>
          </w:p>
          <w:p w14:paraId="5C378E42"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Strength Hardening (Hurricane and Tornado)</w:t>
            </w:r>
          </w:p>
          <w:p w14:paraId="5A595A42"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Stadium/Bleachers Safety Design and Inspection</w:t>
            </w:r>
          </w:p>
          <w:p w14:paraId="30E87F7A"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Wind and Seismic Analysis</w:t>
            </w:r>
          </w:p>
          <w:p w14:paraId="626F3B91"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Post-Natural Disaster Building Safety Assessments</w:t>
            </w:r>
          </w:p>
          <w:p w14:paraId="604D181E" w14:textId="77777777" w:rsidR="007E4CB6" w:rsidRPr="00465277" w:rsidRDefault="007E4CB6" w:rsidP="007E4CB6">
            <w:pPr>
              <w:pStyle w:val="ListParagraph"/>
              <w:numPr>
                <w:ilvl w:val="0"/>
                <w:numId w:val="21"/>
              </w:numPr>
              <w:ind w:left="228" w:hanging="228"/>
              <w:rPr>
                <w:rFonts w:eastAsia="Calibri" w:cstheme="minorHAnsi"/>
              </w:rPr>
            </w:pPr>
            <w:r w:rsidRPr="00465277">
              <w:rPr>
                <w:rFonts w:eastAsia="Calibri" w:cstheme="minorHAnsi"/>
              </w:rPr>
              <w:t>Historic Preservation</w:t>
            </w:r>
          </w:p>
          <w:p w14:paraId="08A32D10" w14:textId="77777777" w:rsidR="007E4CB6" w:rsidRPr="00152034" w:rsidRDefault="007E4CB6" w:rsidP="003D2F63">
            <w:pPr>
              <w:ind w:left="90"/>
              <w:rPr>
                <w:rFonts w:eastAsia="Calibri" w:cstheme="minorHAnsi"/>
              </w:rPr>
            </w:pPr>
          </w:p>
        </w:tc>
      </w:tr>
    </w:tbl>
    <w:p w14:paraId="033394F1" w14:textId="77777777" w:rsidR="007E4CB6" w:rsidRPr="00152034" w:rsidRDefault="007E4CB6" w:rsidP="007E4CB6">
      <w:pPr>
        <w:spacing w:after="0" w:line="240" w:lineRule="auto"/>
        <w:rPr>
          <w:rFonts w:cstheme="minorHAnsi"/>
        </w:rPr>
      </w:pPr>
      <w:r w:rsidRPr="00152034">
        <w:rPr>
          <w:rStyle w:val="Emphasis"/>
          <w:rFonts w:cstheme="minorHAnsi"/>
          <w:b/>
          <w:i w:val="0"/>
          <w:u w:val="single"/>
        </w:rPr>
        <w:t>​</w:t>
      </w:r>
      <w:r w:rsidRPr="00152034">
        <w:rPr>
          <w:rStyle w:val="Emphasis"/>
          <w:rFonts w:cstheme="minorHAnsi"/>
          <w:b/>
          <w:i w:val="0"/>
        </w:rPr>
        <w:t>Education</w:t>
      </w:r>
      <w:r w:rsidRPr="00152034">
        <w:rPr>
          <w:rFonts w:cstheme="minorHAnsi"/>
        </w:rPr>
        <w:br/>
        <w:t>B.Sc. in Civil Engineering - University of Southampton, Southampton, England</w:t>
      </w:r>
    </w:p>
    <w:p w14:paraId="6CE5A402" w14:textId="77777777" w:rsidR="007E4CB6" w:rsidRPr="00152034" w:rsidRDefault="007E4CB6" w:rsidP="007E4CB6">
      <w:pPr>
        <w:spacing w:after="0" w:line="240" w:lineRule="auto"/>
        <w:rPr>
          <w:rFonts w:cstheme="minorHAnsi"/>
        </w:rPr>
      </w:pPr>
      <w:r w:rsidRPr="00152034">
        <w:rPr>
          <w:rFonts w:cstheme="minorHAnsi"/>
        </w:rPr>
        <w:t>M.S. in Structural Engineering - Vanderbilt University, Nashville, TN</w:t>
      </w:r>
    </w:p>
    <w:p w14:paraId="40D1E55A" w14:textId="77777777" w:rsidR="007E4CB6" w:rsidRPr="00465277" w:rsidRDefault="007E4CB6" w:rsidP="007E4CB6">
      <w:pPr>
        <w:spacing w:after="0" w:line="240" w:lineRule="auto"/>
        <w:rPr>
          <w:rStyle w:val="Emphasis"/>
          <w:rFonts w:cstheme="minorHAnsi"/>
          <w:i w:val="0"/>
          <w:iCs w:val="0"/>
          <w:sz w:val="20"/>
          <w:szCs w:val="20"/>
        </w:rPr>
      </w:pPr>
    </w:p>
    <w:p w14:paraId="4F588B94" w14:textId="4C065FCA" w:rsidR="007E4CB6" w:rsidRPr="00152034" w:rsidRDefault="007E4CB6" w:rsidP="007E4CB6">
      <w:pPr>
        <w:spacing w:after="0" w:line="240" w:lineRule="auto"/>
        <w:rPr>
          <w:rFonts w:cstheme="minorHAnsi"/>
        </w:rPr>
      </w:pPr>
      <w:r w:rsidRPr="00152034">
        <w:rPr>
          <w:rStyle w:val="Emphasis"/>
          <w:rFonts w:cstheme="minorHAnsi"/>
          <w:b/>
          <w:i w:val="0"/>
        </w:rPr>
        <w:t>Professional Registrations</w:t>
      </w:r>
      <w:r w:rsidRPr="00152034">
        <w:rPr>
          <w:rFonts w:cstheme="minorHAnsi"/>
          <w:b/>
          <w:i/>
        </w:rPr>
        <w:br/>
      </w:r>
      <w:r>
        <w:rPr>
          <w:rFonts w:cstheme="minorHAnsi"/>
        </w:rPr>
        <w:t xml:space="preserve">Structural Engineer (SE) in Georgia, </w:t>
      </w:r>
      <w:r w:rsidRPr="00152034">
        <w:rPr>
          <w:rFonts w:cstheme="minorHAnsi"/>
        </w:rPr>
        <w:t>Professional Engineer</w:t>
      </w:r>
      <w:r>
        <w:rPr>
          <w:rFonts w:cstheme="minorHAnsi"/>
        </w:rPr>
        <w:t xml:space="preserve"> (PE)</w:t>
      </w:r>
      <w:r w:rsidRPr="00152034">
        <w:rPr>
          <w:rFonts w:cstheme="minorHAnsi"/>
        </w:rPr>
        <w:t xml:space="preserve"> in Alabama, Arkansas, Florida, </w:t>
      </w:r>
      <w:r w:rsidR="00152046">
        <w:rPr>
          <w:rFonts w:cstheme="minorHAnsi"/>
        </w:rPr>
        <w:t xml:space="preserve">Georgia, </w:t>
      </w:r>
      <w:r w:rsidRPr="00152034">
        <w:rPr>
          <w:rFonts w:cstheme="minorHAnsi"/>
        </w:rPr>
        <w:t>Mississippi, North Carolina, South Carolina</w:t>
      </w:r>
      <w:r>
        <w:rPr>
          <w:rFonts w:cstheme="minorHAnsi"/>
        </w:rPr>
        <w:t xml:space="preserve">, </w:t>
      </w:r>
      <w:r w:rsidRPr="00152034">
        <w:rPr>
          <w:rFonts w:cstheme="minorHAnsi"/>
        </w:rPr>
        <w:t>Tennessee</w:t>
      </w:r>
      <w:r>
        <w:rPr>
          <w:rFonts w:cstheme="minorHAnsi"/>
        </w:rPr>
        <w:t xml:space="preserve"> </w:t>
      </w:r>
      <w:r w:rsidRPr="00152034">
        <w:rPr>
          <w:rFonts w:cstheme="minorHAnsi"/>
        </w:rPr>
        <w:t>and a registered Florida Special Inspector</w:t>
      </w:r>
    </w:p>
    <w:p w14:paraId="12EF9D76" w14:textId="77777777" w:rsidR="007E4CB6" w:rsidRPr="00152034" w:rsidRDefault="007E4CB6" w:rsidP="007E4CB6">
      <w:pPr>
        <w:spacing w:after="0" w:line="240" w:lineRule="auto"/>
        <w:rPr>
          <w:rFonts w:cstheme="minorHAnsi"/>
        </w:rPr>
      </w:pPr>
      <w:r w:rsidRPr="00152034">
        <w:rPr>
          <w:rFonts w:cstheme="minorHAnsi"/>
        </w:rPr>
        <w:t>​LEED® Accredited Professional (LEED AP BD+C)</w:t>
      </w:r>
    </w:p>
    <w:p w14:paraId="0D78728A" w14:textId="77777777" w:rsidR="007E4CB6" w:rsidRPr="00152034" w:rsidRDefault="007E4CB6" w:rsidP="007E4CB6">
      <w:pPr>
        <w:spacing w:after="0" w:line="240" w:lineRule="auto"/>
        <w:rPr>
          <w:rFonts w:cstheme="minorHAnsi"/>
        </w:rPr>
      </w:pPr>
      <w:r w:rsidRPr="00152034">
        <w:rPr>
          <w:rFonts w:cstheme="minorHAnsi"/>
        </w:rPr>
        <w:t>Post-Disaster Safety Assessment Services Worker (California Emergency Management Agency)</w:t>
      </w:r>
      <w:r w:rsidRPr="00152034">
        <w:rPr>
          <w:rFonts w:cstheme="minorHAnsi"/>
        </w:rPr>
        <w:br/>
      </w:r>
      <w:r w:rsidRPr="00152034">
        <w:rPr>
          <w:rFonts w:cstheme="minorHAnsi"/>
        </w:rPr>
        <w:br/>
      </w:r>
      <w:r w:rsidRPr="00152034">
        <w:rPr>
          <w:rStyle w:val="Emphasis"/>
          <w:rFonts w:cstheme="minorHAnsi"/>
          <w:b/>
          <w:i w:val="0"/>
        </w:rPr>
        <w:t>Professional Affiliations</w:t>
      </w:r>
      <w:r w:rsidRPr="00152034">
        <w:rPr>
          <w:rStyle w:val="apple-converted-space"/>
          <w:rFonts w:cstheme="minorHAnsi"/>
          <w:b/>
          <w:i/>
          <w:iCs/>
        </w:rPr>
        <w:t> </w:t>
      </w:r>
      <w:r w:rsidRPr="00152034">
        <w:rPr>
          <w:rFonts w:cstheme="minorHAnsi"/>
          <w:b/>
          <w:i/>
        </w:rPr>
        <w:br/>
      </w:r>
      <w:r w:rsidRPr="00152034">
        <w:rPr>
          <w:rFonts w:cstheme="minorHAnsi"/>
        </w:rPr>
        <w:t>American Institute of Steel Construction (AISC)</w:t>
      </w:r>
    </w:p>
    <w:p w14:paraId="60CED439" w14:textId="77777777" w:rsidR="007E4CB6" w:rsidRPr="00152034" w:rsidRDefault="007E4CB6" w:rsidP="007E4CB6">
      <w:pPr>
        <w:spacing w:after="0" w:line="240" w:lineRule="auto"/>
        <w:rPr>
          <w:rFonts w:cstheme="minorHAnsi"/>
        </w:rPr>
      </w:pPr>
      <w:r w:rsidRPr="00152034">
        <w:rPr>
          <w:rFonts w:cstheme="minorHAnsi"/>
        </w:rPr>
        <w:t>Structural Engineers Association of Georgia (SEAOG)</w:t>
      </w:r>
    </w:p>
    <w:p w14:paraId="79B08278" w14:textId="77777777" w:rsidR="007E4CB6" w:rsidRPr="00152034" w:rsidRDefault="007E4CB6" w:rsidP="007E4CB6">
      <w:pPr>
        <w:spacing w:after="0" w:line="240" w:lineRule="auto"/>
        <w:rPr>
          <w:rFonts w:cstheme="minorHAnsi"/>
        </w:rPr>
      </w:pPr>
      <w:r w:rsidRPr="00152034">
        <w:rPr>
          <w:rFonts w:cstheme="minorHAnsi"/>
        </w:rPr>
        <w:t>National Council of Structural Engineers Associations (NCSEA)</w:t>
      </w:r>
    </w:p>
    <w:p w14:paraId="038A27CA" w14:textId="77777777" w:rsidR="007E4CB6" w:rsidRPr="00465277" w:rsidRDefault="007E4CB6" w:rsidP="007E4CB6">
      <w:pPr>
        <w:spacing w:after="0" w:line="240" w:lineRule="auto"/>
        <w:rPr>
          <w:rFonts w:cstheme="minorHAnsi"/>
          <w:sz w:val="20"/>
          <w:szCs w:val="20"/>
        </w:rPr>
      </w:pPr>
    </w:p>
    <w:p w14:paraId="66251CF7" w14:textId="77777777" w:rsidR="007E4CB6" w:rsidRPr="00152034" w:rsidRDefault="007E4CB6" w:rsidP="007E4CB6">
      <w:pPr>
        <w:spacing w:after="0" w:line="240" w:lineRule="auto"/>
        <w:rPr>
          <w:rFonts w:cstheme="minorHAnsi"/>
          <w:b/>
          <w:bCs/>
        </w:rPr>
      </w:pPr>
      <w:r w:rsidRPr="00152034">
        <w:rPr>
          <w:rFonts w:cstheme="minorHAnsi"/>
          <w:b/>
          <w:bCs/>
        </w:rPr>
        <w:t>Presentations</w:t>
      </w:r>
    </w:p>
    <w:p w14:paraId="38D50C7E" w14:textId="77777777" w:rsidR="007E4CB6" w:rsidRPr="003C45BE" w:rsidRDefault="007E4CB6" w:rsidP="007E4CB6">
      <w:pPr>
        <w:spacing w:after="60" w:line="240" w:lineRule="auto"/>
      </w:pPr>
      <w:r w:rsidRPr="003C45BE">
        <w:t>Innovative Engineering I</w:t>
      </w:r>
      <w:r>
        <w:t>I</w:t>
      </w:r>
      <w:r w:rsidRPr="003C45BE">
        <w:t>: Case Study of the Dr. Philips Center in Orlando, co-presented with Laura A. Lewis at the Structures Congress 2013, Structural Engineering Institute of ASCE, Pittsburg, PA, May 2-4, 2013.</w:t>
      </w:r>
    </w:p>
    <w:p w14:paraId="604D12AA" w14:textId="77777777" w:rsidR="007E4CB6" w:rsidRPr="003C45BE" w:rsidRDefault="007E4CB6" w:rsidP="007E4CB6">
      <w:pPr>
        <w:spacing w:after="0" w:line="240" w:lineRule="auto"/>
      </w:pPr>
      <w:r w:rsidRPr="003C45BE">
        <w:t xml:space="preserve">Case Study of the Dr. Phillips Center for the Performing Arts, ACI Spring 2011 Convention, American Concrete Institute, Tampa, FL, April 3-7, 2011.  </w:t>
      </w:r>
    </w:p>
    <w:p w14:paraId="07D1FC3F" w14:textId="77777777" w:rsidR="007E4CB6" w:rsidRPr="00152034" w:rsidRDefault="007E4CB6" w:rsidP="007E4CB6">
      <w:pPr>
        <w:spacing w:after="0" w:line="240" w:lineRule="auto"/>
        <w:rPr>
          <w:rStyle w:val="Emphasis"/>
          <w:rFonts w:cstheme="minorHAnsi"/>
          <w:b/>
          <w:i w:val="0"/>
        </w:rPr>
      </w:pPr>
      <w:r w:rsidRPr="00152034">
        <w:rPr>
          <w:rFonts w:cstheme="minorHAnsi"/>
        </w:rPr>
        <w:br/>
      </w:r>
      <w:r w:rsidRPr="00152034">
        <w:rPr>
          <w:rStyle w:val="Emphasis"/>
          <w:rFonts w:cstheme="minorHAnsi"/>
          <w:b/>
          <w:i w:val="0"/>
        </w:rPr>
        <w:t>Professional Experience</w:t>
      </w:r>
    </w:p>
    <w:p w14:paraId="1DC6B35D" w14:textId="77777777" w:rsidR="007E4CB6" w:rsidRPr="00152034" w:rsidRDefault="007E4CB6" w:rsidP="007E4CB6">
      <w:pPr>
        <w:spacing w:after="0" w:line="240" w:lineRule="auto"/>
        <w:rPr>
          <w:rStyle w:val="Emphasis"/>
          <w:rFonts w:cstheme="minorHAnsi"/>
        </w:rPr>
      </w:pPr>
      <w:r w:rsidRPr="00152034">
        <w:rPr>
          <w:rStyle w:val="Emphasis"/>
          <w:rFonts w:cstheme="minorHAnsi"/>
          <w:b/>
        </w:rPr>
        <w:t xml:space="preserve">HEAD of Engineering, </w:t>
      </w:r>
      <w:r w:rsidRPr="00152034">
        <w:rPr>
          <w:rStyle w:val="Emphasis"/>
          <w:rFonts w:cstheme="minorHAnsi"/>
        </w:rPr>
        <w:t>Atlanta, Georgia, 2016-Present</w:t>
      </w:r>
    </w:p>
    <w:p w14:paraId="6ADBAC48" w14:textId="77777777" w:rsidR="007E4CB6" w:rsidRPr="00152034" w:rsidRDefault="007E4CB6" w:rsidP="007E4CB6">
      <w:pPr>
        <w:spacing w:after="0" w:line="240" w:lineRule="auto"/>
        <w:rPr>
          <w:rStyle w:val="Emphasis"/>
          <w:rFonts w:cstheme="minorHAnsi"/>
        </w:rPr>
      </w:pPr>
      <w:r w:rsidRPr="00152034">
        <w:rPr>
          <w:rStyle w:val="Emphasis"/>
          <w:rFonts w:cstheme="minorHAnsi"/>
        </w:rPr>
        <w:t>Principal &amp; Expert Witness</w:t>
      </w:r>
    </w:p>
    <w:p w14:paraId="086D3A86" w14:textId="77777777" w:rsidR="007E4CB6" w:rsidRPr="00152034" w:rsidRDefault="007E4CB6" w:rsidP="007E4CB6">
      <w:pPr>
        <w:spacing w:after="0" w:line="240" w:lineRule="auto"/>
        <w:rPr>
          <w:rStyle w:val="Emphasis"/>
          <w:rFonts w:cstheme="minorHAnsi"/>
          <w:i w:val="0"/>
        </w:rPr>
      </w:pPr>
      <w:r w:rsidRPr="00152034">
        <w:rPr>
          <w:rStyle w:val="Emphasis"/>
          <w:rFonts w:cstheme="minorHAnsi"/>
          <w:i w:val="0"/>
        </w:rPr>
        <w:t>Assisting attorneys, insurance companies, contractors, architects, engineers, owners, and developers in determining whether a project was designed or constructed according to code minimums and the standard practice in the industry; conducting an investigation into causes of under-performance or failure; and determination of the cause when a building or building component has failed or otherwise resulted in an injury.</w:t>
      </w:r>
    </w:p>
    <w:p w14:paraId="616ADD9A"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Dr. Phillips Orlando Center for the Performing Arts, Orlando, Florida</w:t>
      </w:r>
    </w:p>
    <w:p w14:paraId="5BC43C41"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Consultant for the Music Hall Theater Design for the completion of the facility</w:t>
      </w:r>
    </w:p>
    <w:p w14:paraId="12486541" w14:textId="77777777" w:rsidR="007E4CB6" w:rsidRPr="00152034" w:rsidRDefault="007E4CB6" w:rsidP="007E4CB6">
      <w:pPr>
        <w:numPr>
          <w:ilvl w:val="0"/>
          <w:numId w:val="14"/>
        </w:numPr>
        <w:spacing w:after="0" w:line="240" w:lineRule="auto"/>
        <w:ind w:left="720"/>
        <w:rPr>
          <w:rFonts w:eastAsia="Times New Roman" w:cstheme="minorHAnsi"/>
          <w:b/>
        </w:rPr>
      </w:pPr>
      <w:r w:rsidRPr="00152034">
        <w:rPr>
          <w:rFonts w:eastAsia="Times New Roman" w:cstheme="minorHAnsi"/>
          <w:b/>
        </w:rPr>
        <w:lastRenderedPageBreak/>
        <w:t xml:space="preserve">Expert witness for attorneys on multiple litigation cases in </w:t>
      </w:r>
      <w:r>
        <w:rPr>
          <w:rFonts w:eastAsia="Times New Roman" w:cstheme="minorHAnsi"/>
          <w:b/>
        </w:rPr>
        <w:t xml:space="preserve">Alabama, Florida, </w:t>
      </w:r>
      <w:r w:rsidRPr="00152034">
        <w:rPr>
          <w:rFonts w:eastAsia="Times New Roman" w:cstheme="minorHAnsi"/>
          <w:b/>
        </w:rPr>
        <w:t xml:space="preserve">Georgia, </w:t>
      </w:r>
      <w:r>
        <w:rPr>
          <w:rFonts w:eastAsia="Times New Roman" w:cstheme="minorHAnsi"/>
          <w:b/>
        </w:rPr>
        <w:t xml:space="preserve">Mississippi, </w:t>
      </w:r>
      <w:r w:rsidRPr="00152034">
        <w:rPr>
          <w:rFonts w:eastAsia="Times New Roman" w:cstheme="minorHAnsi"/>
          <w:b/>
        </w:rPr>
        <w:t>South Carolina and Tennessee</w:t>
      </w:r>
      <w:r>
        <w:rPr>
          <w:rFonts w:eastAsia="Times New Roman" w:cstheme="minorHAnsi"/>
          <w:b/>
        </w:rPr>
        <w:t xml:space="preserve">, Delaware </w:t>
      </w:r>
      <w:r w:rsidRPr="00A54394">
        <w:rPr>
          <w:rFonts w:eastAsia="Times New Roman" w:cstheme="minorHAnsi"/>
          <w:b/>
        </w:rPr>
        <w:t xml:space="preserve">including the </w:t>
      </w:r>
      <w:r>
        <w:rPr>
          <w:rFonts w:eastAsia="Times New Roman" w:cstheme="minorHAnsi"/>
          <w:b/>
        </w:rPr>
        <w:t>i</w:t>
      </w:r>
      <w:r w:rsidRPr="00A54394">
        <w:rPr>
          <w:rFonts w:eastAsia="Times New Roman" w:cstheme="minorHAnsi"/>
          <w:b/>
          <w:bCs/>
        </w:rPr>
        <w:t>nvestigation</w:t>
      </w:r>
      <w:r>
        <w:rPr>
          <w:rFonts w:eastAsia="Times New Roman" w:cstheme="minorHAnsi"/>
          <w:b/>
          <w:bCs/>
        </w:rPr>
        <w:t>s to determine the cause</w:t>
      </w:r>
      <w:r w:rsidRPr="00A54394">
        <w:rPr>
          <w:rFonts w:eastAsia="Times New Roman" w:cstheme="minorHAnsi"/>
          <w:b/>
          <w:bCs/>
        </w:rPr>
        <w:t xml:space="preserve"> of distressed </w:t>
      </w:r>
      <w:r>
        <w:rPr>
          <w:rFonts w:eastAsia="Times New Roman" w:cstheme="minorHAnsi"/>
          <w:b/>
          <w:bCs/>
        </w:rPr>
        <w:t xml:space="preserve">and partially collapsed </w:t>
      </w:r>
      <w:r w:rsidRPr="00A54394">
        <w:rPr>
          <w:rFonts w:eastAsia="Times New Roman" w:cstheme="minorHAnsi"/>
          <w:b/>
          <w:bCs/>
        </w:rPr>
        <w:t>buildings following natural</w:t>
      </w:r>
      <w:r>
        <w:rPr>
          <w:rFonts w:eastAsia="Times New Roman" w:cstheme="minorHAnsi"/>
          <w:b/>
          <w:bCs/>
        </w:rPr>
        <w:t xml:space="preserve"> disasters (hurricanes)</w:t>
      </w:r>
    </w:p>
    <w:p w14:paraId="7E6127B5" w14:textId="77777777" w:rsidR="007E4CB6" w:rsidRPr="00152034" w:rsidRDefault="007E4CB6" w:rsidP="007E4CB6">
      <w:pPr>
        <w:numPr>
          <w:ilvl w:val="0"/>
          <w:numId w:val="14"/>
        </w:numPr>
        <w:spacing w:after="0" w:line="240" w:lineRule="auto"/>
        <w:ind w:left="720"/>
        <w:rPr>
          <w:rFonts w:eastAsia="Times New Roman" w:cstheme="minorHAnsi"/>
          <w:bCs/>
        </w:rPr>
      </w:pPr>
      <w:r w:rsidRPr="00152034">
        <w:rPr>
          <w:rFonts w:eastAsia="Times New Roman" w:cstheme="minorHAnsi"/>
          <w:b/>
        </w:rPr>
        <w:t>Lamplight Court Apartments, Doraville, Georgia</w:t>
      </w:r>
      <w:r w:rsidRPr="00152034">
        <w:rPr>
          <w:rFonts w:eastAsia="Times New Roman" w:cstheme="minorHAnsi"/>
          <w:bCs/>
        </w:rPr>
        <w:t xml:space="preserve">: Design for </w:t>
      </w:r>
      <w:r>
        <w:rPr>
          <w:rFonts w:eastAsia="Times New Roman" w:cstheme="minorHAnsi"/>
          <w:bCs/>
        </w:rPr>
        <w:t xml:space="preserve">renovation of 50-year old facilities </w:t>
      </w:r>
    </w:p>
    <w:p w14:paraId="703D3453" w14:textId="77777777" w:rsidR="007E4CB6" w:rsidRPr="00152034" w:rsidRDefault="007E4CB6" w:rsidP="007E4CB6">
      <w:pPr>
        <w:numPr>
          <w:ilvl w:val="0"/>
          <w:numId w:val="14"/>
        </w:numPr>
        <w:spacing w:after="0" w:line="240" w:lineRule="auto"/>
        <w:ind w:left="720"/>
        <w:contextualSpacing/>
        <w:rPr>
          <w:rFonts w:eastAsia="Times New Roman" w:cstheme="minorHAnsi"/>
        </w:rPr>
      </w:pPr>
      <w:r w:rsidRPr="00152034">
        <w:rPr>
          <w:rFonts w:eastAsia="Times New Roman" w:cstheme="minorHAnsi"/>
          <w:b/>
          <w:bCs/>
        </w:rPr>
        <w:t>524 West Peachtree Street, Atlanta, Georgia:</w:t>
      </w:r>
      <w:r w:rsidRPr="00152034">
        <w:rPr>
          <w:rFonts w:eastAsia="Times New Roman" w:cstheme="minorHAnsi"/>
        </w:rPr>
        <w:t xml:space="preserve"> Structural Property Condition Assessment (PCA)</w:t>
      </w:r>
    </w:p>
    <w:p w14:paraId="770D51CE" w14:textId="77777777" w:rsidR="007E4CB6" w:rsidRPr="00152034" w:rsidRDefault="007E4CB6" w:rsidP="007E4CB6">
      <w:pPr>
        <w:numPr>
          <w:ilvl w:val="0"/>
          <w:numId w:val="14"/>
        </w:numPr>
        <w:spacing w:after="0" w:line="240" w:lineRule="auto"/>
        <w:ind w:left="720"/>
        <w:rPr>
          <w:rFonts w:eastAsia="Times New Roman" w:cstheme="minorHAnsi"/>
          <w:b/>
        </w:rPr>
      </w:pPr>
      <w:r w:rsidRPr="00152034">
        <w:rPr>
          <w:rFonts w:eastAsia="Times New Roman" w:cstheme="minorHAnsi"/>
          <w:b/>
        </w:rPr>
        <w:t xml:space="preserve">FNC K-12 School, Kampala, Uganda – </w:t>
      </w:r>
      <w:r w:rsidRPr="00152034">
        <w:rPr>
          <w:rFonts w:eastAsia="Times New Roman" w:cstheme="minorHAnsi"/>
          <w:bCs/>
        </w:rPr>
        <w:t xml:space="preserve">Structural Master Planning for K-12 Boarding School for </w:t>
      </w:r>
      <w:r>
        <w:rPr>
          <w:rFonts w:eastAsia="Times New Roman" w:cstheme="minorHAnsi"/>
          <w:bCs/>
        </w:rPr>
        <w:t>EMI</w:t>
      </w:r>
    </w:p>
    <w:p w14:paraId="55083D34" w14:textId="77777777" w:rsidR="007E4CB6" w:rsidRPr="00152034" w:rsidRDefault="007E4CB6" w:rsidP="007E4CB6">
      <w:pPr>
        <w:spacing w:after="0" w:line="240" w:lineRule="auto"/>
        <w:ind w:left="720"/>
        <w:rPr>
          <w:rFonts w:eastAsia="Times New Roman" w:cstheme="minorHAnsi"/>
          <w:b/>
        </w:rPr>
      </w:pPr>
    </w:p>
    <w:p w14:paraId="3820C6FD" w14:textId="77777777" w:rsidR="007E4CB6" w:rsidRPr="00152034" w:rsidRDefault="007E4CB6" w:rsidP="007E4CB6">
      <w:pPr>
        <w:spacing w:after="0" w:line="240" w:lineRule="auto"/>
        <w:rPr>
          <w:rStyle w:val="Emphasis"/>
          <w:rFonts w:cstheme="minorHAnsi"/>
        </w:rPr>
      </w:pPr>
      <w:r w:rsidRPr="00152034">
        <w:rPr>
          <w:rStyle w:val="Emphasis"/>
          <w:rFonts w:cstheme="minorHAnsi"/>
          <w:b/>
        </w:rPr>
        <w:t xml:space="preserve">Heery International, </w:t>
      </w:r>
      <w:r w:rsidRPr="00152034">
        <w:rPr>
          <w:rStyle w:val="Emphasis"/>
          <w:rFonts w:cstheme="minorHAnsi"/>
        </w:rPr>
        <w:t>​ Atlanta, Georgia, 2012-2016</w:t>
      </w:r>
      <w:r w:rsidRPr="00152034">
        <w:rPr>
          <w:rFonts w:cstheme="minorHAnsi"/>
        </w:rPr>
        <w:br/>
      </w:r>
      <w:r w:rsidRPr="00152034">
        <w:rPr>
          <w:rStyle w:val="Emphasis"/>
          <w:rFonts w:cstheme="minorHAnsi"/>
        </w:rPr>
        <w:t>Sr. Associate/Sr. ​Structural Engineer</w:t>
      </w:r>
    </w:p>
    <w:p w14:paraId="5C7E9C3E" w14:textId="77777777" w:rsidR="007E4CB6" w:rsidRPr="00152034" w:rsidRDefault="007E4CB6" w:rsidP="007E4CB6">
      <w:pPr>
        <w:numPr>
          <w:ilvl w:val="0"/>
          <w:numId w:val="1"/>
        </w:numPr>
        <w:spacing w:after="0" w:line="240" w:lineRule="auto"/>
        <w:rPr>
          <w:rFonts w:eastAsia="Times New Roman" w:cstheme="minorHAnsi"/>
          <w:b/>
        </w:rPr>
      </w:pPr>
      <w:r w:rsidRPr="00152034">
        <w:rPr>
          <w:rFonts w:eastAsia="Times New Roman" w:cstheme="minorHAnsi"/>
          <w:b/>
        </w:rPr>
        <w:t>Seymour Johnson AFB Clinic, Goldsboro, North Carolina</w:t>
      </w:r>
    </w:p>
    <w:p w14:paraId="003CE98B" w14:textId="77777777" w:rsidR="007E4CB6" w:rsidRPr="00152034" w:rsidRDefault="007E4CB6" w:rsidP="007E4CB6">
      <w:pPr>
        <w:spacing w:after="0" w:line="240" w:lineRule="auto"/>
        <w:ind w:left="720" w:right="-144"/>
        <w:rPr>
          <w:rFonts w:eastAsia="Times New Roman" w:cstheme="minorHAnsi"/>
        </w:rPr>
      </w:pPr>
      <w:r w:rsidRPr="00152034">
        <w:rPr>
          <w:rFonts w:eastAsia="Times New Roman" w:cstheme="minorHAnsi"/>
        </w:rPr>
        <w:t>Design/Build delivery of a new, two-story clinic facility with a PTFE fabric roof over the Medical Mall Atrium; structural design to resist wind, seismic and Anti-Terrorist /Force Protection (blast) design loads.</w:t>
      </w:r>
    </w:p>
    <w:p w14:paraId="3BD82601" w14:textId="77777777" w:rsidR="007E4CB6" w:rsidRPr="00152034" w:rsidRDefault="007E4CB6" w:rsidP="007E4CB6">
      <w:pPr>
        <w:numPr>
          <w:ilvl w:val="0"/>
          <w:numId w:val="1"/>
        </w:numPr>
        <w:spacing w:after="0" w:line="240" w:lineRule="auto"/>
        <w:rPr>
          <w:rFonts w:eastAsia="Times New Roman" w:cstheme="minorHAnsi"/>
          <w:b/>
        </w:rPr>
      </w:pPr>
      <w:r w:rsidRPr="00152034">
        <w:rPr>
          <w:rFonts w:eastAsia="Times New Roman" w:cstheme="minorHAnsi"/>
          <w:b/>
        </w:rPr>
        <w:t>Robins AFB Clinic Renovation and Structural Upgrade, Warner Robins, Georgia </w:t>
      </w:r>
    </w:p>
    <w:p w14:paraId="6E36CA28"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Design/Build renovation of 1960’s facility to meet current wind, seismic and Anti-Terrorist/Force Protection (blast) design requirements</w:t>
      </w:r>
    </w:p>
    <w:p w14:paraId="46F647EF" w14:textId="77777777" w:rsidR="007E4CB6" w:rsidRPr="00152034" w:rsidRDefault="007E4CB6" w:rsidP="007E4CB6">
      <w:pPr>
        <w:numPr>
          <w:ilvl w:val="0"/>
          <w:numId w:val="1"/>
        </w:numPr>
        <w:spacing w:after="0" w:line="240" w:lineRule="auto"/>
        <w:rPr>
          <w:rFonts w:eastAsia="Times New Roman" w:cstheme="minorHAnsi"/>
          <w:b/>
        </w:rPr>
      </w:pPr>
      <w:r w:rsidRPr="00152034">
        <w:rPr>
          <w:rFonts w:eastAsia="Times New Roman" w:cstheme="minorHAnsi"/>
          <w:b/>
        </w:rPr>
        <w:t>Georgia Military Academy Basketball Arena, Milledgeville, Georgia</w:t>
      </w:r>
    </w:p>
    <w:p w14:paraId="713268C6"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Steel framed concrete upper story on reinforced concrete lower level with basketball court, running track, weight room and curved roof trusses</w:t>
      </w:r>
    </w:p>
    <w:p w14:paraId="35EA62AD" w14:textId="77777777" w:rsidR="007E4CB6" w:rsidRPr="00152034" w:rsidRDefault="007E4CB6" w:rsidP="007E4CB6">
      <w:pPr>
        <w:pStyle w:val="ListParagraph"/>
        <w:numPr>
          <w:ilvl w:val="0"/>
          <w:numId w:val="19"/>
        </w:numPr>
        <w:spacing w:after="0" w:line="240" w:lineRule="auto"/>
        <w:ind w:left="720"/>
        <w:rPr>
          <w:rFonts w:eastAsia="Times New Roman" w:cstheme="minorHAnsi"/>
        </w:rPr>
      </w:pPr>
      <w:r w:rsidRPr="00152034">
        <w:rPr>
          <w:rFonts w:eastAsia="Times New Roman" w:cstheme="minorHAnsi"/>
          <w:b/>
          <w:bCs/>
        </w:rPr>
        <w:t>Billerica House of Corrections Expansion, Middlesex County, Massachusetts</w:t>
      </w:r>
    </w:p>
    <w:p w14:paraId="7BD84C4E" w14:textId="77777777" w:rsidR="007E4CB6" w:rsidRPr="00152034" w:rsidRDefault="007E4CB6" w:rsidP="007E4CB6">
      <w:pPr>
        <w:pStyle w:val="ListParagraph"/>
        <w:spacing w:after="0" w:line="240" w:lineRule="auto"/>
        <w:rPr>
          <w:rFonts w:eastAsia="Times New Roman" w:cstheme="minorHAnsi"/>
        </w:rPr>
      </w:pPr>
      <w:r w:rsidRPr="00152034">
        <w:rPr>
          <w:rFonts w:eastAsia="Times New Roman" w:cstheme="minorHAnsi"/>
        </w:rPr>
        <w:t>256 bed precast modules expansion and a two-story dorm with 240 beds</w:t>
      </w:r>
    </w:p>
    <w:p w14:paraId="33F434C9" w14:textId="77777777" w:rsidR="007E4CB6" w:rsidRPr="00152034" w:rsidRDefault="007E4CB6" w:rsidP="007E4CB6">
      <w:pPr>
        <w:spacing w:after="0" w:line="240" w:lineRule="auto"/>
        <w:rPr>
          <w:rStyle w:val="Emphasis"/>
          <w:rFonts w:cstheme="minorHAnsi"/>
        </w:rPr>
      </w:pPr>
    </w:p>
    <w:p w14:paraId="3A99E4F4" w14:textId="77777777" w:rsidR="007E4CB6" w:rsidRPr="00152034" w:rsidRDefault="007E4CB6" w:rsidP="007E4CB6">
      <w:pPr>
        <w:spacing w:after="0" w:line="240" w:lineRule="auto"/>
        <w:rPr>
          <w:rStyle w:val="Emphasis"/>
          <w:rFonts w:cstheme="minorHAnsi"/>
        </w:rPr>
      </w:pPr>
      <w:r w:rsidRPr="00152034">
        <w:rPr>
          <w:rStyle w:val="Emphasis"/>
          <w:rFonts w:cstheme="minorHAnsi"/>
          <w:b/>
        </w:rPr>
        <w:t>TLC Engineering for Architecture,</w:t>
      </w:r>
      <w:r w:rsidRPr="00152034">
        <w:rPr>
          <w:rStyle w:val="Emphasis"/>
          <w:rFonts w:cstheme="minorHAnsi"/>
        </w:rPr>
        <w:t xml:space="preserve"> Fort Myers and Orlando, Florida, 2003-2012</w:t>
      </w:r>
      <w:r w:rsidRPr="00152034">
        <w:rPr>
          <w:rFonts w:cstheme="minorHAnsi"/>
        </w:rPr>
        <w:br/>
      </w:r>
      <w:r w:rsidRPr="00152034">
        <w:rPr>
          <w:rStyle w:val="Emphasis"/>
          <w:rFonts w:cstheme="minorHAnsi"/>
        </w:rPr>
        <w:t>​Principal/Partner</w:t>
      </w:r>
    </w:p>
    <w:p w14:paraId="3CF127A1" w14:textId="77777777" w:rsidR="007E4CB6" w:rsidRPr="00152034" w:rsidRDefault="007E4CB6" w:rsidP="007E4CB6">
      <w:pPr>
        <w:numPr>
          <w:ilvl w:val="0"/>
          <w:numId w:val="2"/>
        </w:numPr>
        <w:spacing w:after="0" w:line="240" w:lineRule="auto"/>
        <w:rPr>
          <w:rFonts w:eastAsia="Times New Roman" w:cstheme="minorHAnsi"/>
        </w:rPr>
      </w:pPr>
      <w:r w:rsidRPr="00152034">
        <w:rPr>
          <w:rFonts w:eastAsia="Times New Roman" w:cstheme="minorHAnsi"/>
        </w:rPr>
        <w:t>Chairman of TLC’s Structural Committee</w:t>
      </w:r>
    </w:p>
    <w:p w14:paraId="0A8A0DCE"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Dr. Phillips Orlando Center for the Performing Arts Orlando, Florida</w:t>
      </w:r>
    </w:p>
    <w:p w14:paraId="6D4041CB"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State-of-the-art center including three performance halls (2,800 seat amplified theater, 1,800 seat acoustic theater, and 300 seat theater), outdoor plaza and performance space, rehearsal rooms, administrative offices and educational programming space $240M, 330,000 sf</w:t>
      </w:r>
    </w:p>
    <w:p w14:paraId="5528FE28" w14:textId="77777777" w:rsidR="007E4CB6" w:rsidRPr="00152034" w:rsidRDefault="007E4CB6" w:rsidP="007E4CB6">
      <w:pPr>
        <w:pStyle w:val="ListParagraph"/>
        <w:numPr>
          <w:ilvl w:val="0"/>
          <w:numId w:val="16"/>
        </w:numPr>
        <w:spacing w:after="0" w:line="240" w:lineRule="auto"/>
        <w:rPr>
          <w:rFonts w:eastAsia="Times New Roman" w:cstheme="minorHAnsi"/>
          <w:b/>
        </w:rPr>
      </w:pPr>
      <w:r w:rsidRPr="00152034">
        <w:rPr>
          <w:rFonts w:eastAsia="Times New Roman" w:cstheme="minorHAnsi"/>
          <w:b/>
        </w:rPr>
        <w:t>Charlotte County schools after Hurricane Charley, 2004, Punta Gorda, Florida</w:t>
      </w:r>
    </w:p>
    <w:p w14:paraId="20AB36A6"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and reports for all the Charlotte County schools, in various state of damage</w:t>
      </w:r>
    </w:p>
    <w:p w14:paraId="635C4A48" w14:textId="77777777" w:rsidR="007E4CB6" w:rsidRPr="00152034" w:rsidRDefault="007E4CB6" w:rsidP="007E4CB6">
      <w:pPr>
        <w:pStyle w:val="ListParagraph"/>
        <w:numPr>
          <w:ilvl w:val="0"/>
          <w:numId w:val="16"/>
        </w:numPr>
        <w:spacing w:after="0" w:line="240" w:lineRule="auto"/>
        <w:rPr>
          <w:rFonts w:eastAsia="Times New Roman" w:cstheme="minorHAnsi"/>
        </w:rPr>
      </w:pPr>
      <w:r w:rsidRPr="00152034">
        <w:rPr>
          <w:rFonts w:eastAsia="Times New Roman" w:cstheme="minorHAnsi"/>
          <w:b/>
          <w:bCs/>
        </w:rPr>
        <w:t>Sarasota County, Charlotte County, Collier County schools</w:t>
      </w:r>
      <w:r w:rsidRPr="00152034">
        <w:rPr>
          <w:rFonts w:eastAsia="Times New Roman" w:cstheme="minorHAnsi"/>
        </w:rPr>
        <w:t xml:space="preserve"> – biannual bleacher inspections</w:t>
      </w:r>
    </w:p>
    <w:p w14:paraId="669A8D09" w14:textId="77777777" w:rsidR="007E4CB6" w:rsidRPr="00152034" w:rsidRDefault="007E4CB6" w:rsidP="007E4CB6">
      <w:pPr>
        <w:numPr>
          <w:ilvl w:val="0"/>
          <w:numId w:val="2"/>
        </w:numPr>
        <w:spacing w:after="0" w:line="240" w:lineRule="auto"/>
        <w:rPr>
          <w:rFonts w:eastAsia="Times New Roman" w:cstheme="minorHAnsi"/>
          <w:b/>
        </w:rPr>
      </w:pPr>
      <w:proofErr w:type="spellStart"/>
      <w:r w:rsidRPr="00152034">
        <w:rPr>
          <w:rFonts w:eastAsia="Times New Roman" w:cstheme="minorHAnsi"/>
          <w:b/>
        </w:rPr>
        <w:t>Agrirama</w:t>
      </w:r>
      <w:proofErr w:type="spellEnd"/>
      <w:r w:rsidRPr="00152034">
        <w:rPr>
          <w:rFonts w:eastAsia="Times New Roman" w:cstheme="minorHAnsi"/>
          <w:b/>
        </w:rPr>
        <w:t>, Arcadia, Florida</w:t>
      </w:r>
    </w:p>
    <w:p w14:paraId="52218D27"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 xml:space="preserve">Investigation of the </w:t>
      </w:r>
      <w:proofErr w:type="spellStart"/>
      <w:r w:rsidRPr="00152034">
        <w:rPr>
          <w:rFonts w:eastAsia="Times New Roman" w:cstheme="minorHAnsi"/>
        </w:rPr>
        <w:t>Agrirama</w:t>
      </w:r>
      <w:proofErr w:type="spellEnd"/>
      <w:r w:rsidRPr="00152034">
        <w:rPr>
          <w:rFonts w:eastAsia="Times New Roman" w:cstheme="minorHAnsi"/>
        </w:rPr>
        <w:t xml:space="preserve"> Building, partially collapsed during Hurricane Charley</w:t>
      </w:r>
    </w:p>
    <w:p w14:paraId="6C30E6CF"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Collier County schools after Hurricane Wilma 2005, Naples, Florida</w:t>
      </w:r>
    </w:p>
    <w:p w14:paraId="2B1384A4"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and reports for several Collier County schools</w:t>
      </w:r>
    </w:p>
    <w:p w14:paraId="26D461B8"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Sarasota County Assembly Building, Sarasota, Florida</w:t>
      </w:r>
    </w:p>
    <w:p w14:paraId="3CB59707"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of partially collapsed, recently renovated assembly building</w:t>
      </w:r>
    </w:p>
    <w:p w14:paraId="1D6FB073"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East Elementary School, Punta Gorda, Florida</w:t>
      </w:r>
    </w:p>
    <w:p w14:paraId="60D0FB80"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Replacement elementary school on site of hurricane destroyed school. LEED Certified</w:t>
      </w:r>
    </w:p>
    <w:p w14:paraId="4C4D4187"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Fort Myers Post Office, Fort Myers, Florida</w:t>
      </w:r>
    </w:p>
    <w:p w14:paraId="4AD7C4B0"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of existing post office built in 1910 to be transformed into an arts center</w:t>
      </w:r>
    </w:p>
    <w:p w14:paraId="52A17C50"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Sarasota High School, Building 4, Sarasota, Florida</w:t>
      </w:r>
    </w:p>
    <w:p w14:paraId="182AE3E1"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and report of the condition of a distressed historic structure built in 1950</w:t>
      </w:r>
    </w:p>
    <w:p w14:paraId="4074E7E9" w14:textId="77777777" w:rsidR="007E4CB6" w:rsidRPr="00152034" w:rsidRDefault="007E4CB6" w:rsidP="007E4CB6">
      <w:pPr>
        <w:numPr>
          <w:ilvl w:val="0"/>
          <w:numId w:val="2"/>
        </w:numPr>
        <w:spacing w:after="0" w:line="240" w:lineRule="auto"/>
        <w:rPr>
          <w:rFonts w:eastAsia="Times New Roman" w:cstheme="minorHAnsi"/>
          <w:b/>
        </w:rPr>
      </w:pPr>
      <w:r w:rsidRPr="00152034">
        <w:rPr>
          <w:rFonts w:eastAsia="Times New Roman" w:cstheme="minorHAnsi"/>
          <w:b/>
        </w:rPr>
        <w:t>WCI Headquarters Building, Bonita Springs, Florida</w:t>
      </w:r>
    </w:p>
    <w:p w14:paraId="5FF19FD2"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200,000 sq. ft., 6-story office building plus 4-level parking garage</w:t>
      </w:r>
    </w:p>
    <w:p w14:paraId="538D34BF" w14:textId="77777777" w:rsidR="007E4CB6" w:rsidRPr="00152034" w:rsidRDefault="007E4CB6" w:rsidP="007E4CB6">
      <w:pPr>
        <w:spacing w:after="0" w:line="240" w:lineRule="auto"/>
        <w:rPr>
          <w:rFonts w:cstheme="minorHAnsi"/>
        </w:rPr>
      </w:pPr>
    </w:p>
    <w:p w14:paraId="6B2D6E15" w14:textId="77777777" w:rsidR="007E4CB6" w:rsidRPr="00152034" w:rsidRDefault="007E4CB6" w:rsidP="007E4CB6">
      <w:pPr>
        <w:spacing w:after="0" w:line="240" w:lineRule="auto"/>
        <w:rPr>
          <w:rStyle w:val="Emphasis"/>
          <w:rFonts w:eastAsia="Times New Roman" w:cstheme="minorHAnsi"/>
          <w:i w:val="0"/>
          <w:iCs w:val="0"/>
        </w:rPr>
      </w:pPr>
      <w:r w:rsidRPr="00152034">
        <w:rPr>
          <w:rFonts w:cstheme="minorHAnsi"/>
        </w:rPr>
        <w:t>​</w:t>
      </w:r>
      <w:r w:rsidRPr="00152034">
        <w:rPr>
          <w:rStyle w:val="Emphasis"/>
          <w:rFonts w:cstheme="minorHAnsi"/>
          <w:b/>
        </w:rPr>
        <w:t xml:space="preserve">Stanley D. Lindsey and Associates, Ltd., </w:t>
      </w:r>
      <w:r w:rsidRPr="00152034">
        <w:rPr>
          <w:rStyle w:val="Emphasis"/>
          <w:rFonts w:cstheme="minorHAnsi"/>
        </w:rPr>
        <w:t>Atlanta, GA, ​1996-2003</w:t>
      </w:r>
      <w:r w:rsidRPr="00152034">
        <w:rPr>
          <w:rFonts w:cstheme="minorHAnsi"/>
          <w:iCs/>
        </w:rPr>
        <w:br/>
      </w:r>
      <w:r w:rsidRPr="00152034">
        <w:rPr>
          <w:rStyle w:val="Emphasis"/>
          <w:rFonts w:cstheme="minorHAnsi"/>
        </w:rPr>
        <w:t>Sr. Structural Engineer</w:t>
      </w:r>
      <w:r w:rsidRPr="00152034">
        <w:rPr>
          <w:rStyle w:val="apple-converted-space"/>
          <w:rFonts w:cstheme="minorHAnsi"/>
          <w:i/>
          <w:iCs/>
        </w:rPr>
        <w:t> </w:t>
      </w:r>
      <w:r w:rsidRPr="00152034">
        <w:rPr>
          <w:rStyle w:val="Emphasis"/>
          <w:rFonts w:cstheme="minorHAnsi"/>
        </w:rPr>
        <w:t>​</w:t>
      </w:r>
    </w:p>
    <w:p w14:paraId="48E50EA5" w14:textId="77777777" w:rsidR="007E4CB6" w:rsidRPr="00152034" w:rsidRDefault="007E4CB6" w:rsidP="007E4CB6">
      <w:pPr>
        <w:numPr>
          <w:ilvl w:val="0"/>
          <w:numId w:val="3"/>
        </w:numPr>
        <w:spacing w:after="0" w:line="240" w:lineRule="auto"/>
        <w:rPr>
          <w:rFonts w:eastAsia="Times New Roman" w:cstheme="minorHAnsi"/>
        </w:rPr>
      </w:pPr>
      <w:r w:rsidRPr="00152034">
        <w:rPr>
          <w:rFonts w:cstheme="minorHAnsi"/>
        </w:rPr>
        <w:t>​</w:t>
      </w:r>
      <w:r w:rsidRPr="00152034">
        <w:rPr>
          <w:rFonts w:eastAsia="Times New Roman" w:cstheme="minorHAnsi"/>
          <w:b/>
        </w:rPr>
        <w:t>First Congregational Church, Atlanta, Georgia</w:t>
      </w:r>
    </w:p>
    <w:p w14:paraId="166FA2E4"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and report for renovation, partial demolition and expansion of 1910 era historic church</w:t>
      </w:r>
    </w:p>
    <w:p w14:paraId="53C8BB3A" w14:textId="77777777" w:rsidR="007E4CB6" w:rsidRPr="00152034" w:rsidRDefault="007E4CB6" w:rsidP="007E4CB6">
      <w:pPr>
        <w:numPr>
          <w:ilvl w:val="0"/>
          <w:numId w:val="3"/>
        </w:numPr>
        <w:spacing w:after="0" w:line="240" w:lineRule="auto"/>
        <w:rPr>
          <w:rFonts w:eastAsia="Times New Roman" w:cstheme="minorHAnsi"/>
          <w:b/>
        </w:rPr>
      </w:pPr>
      <w:r w:rsidRPr="00152034">
        <w:rPr>
          <w:rFonts w:eastAsia="Times New Roman" w:cstheme="minorHAnsi"/>
          <w:b/>
        </w:rPr>
        <w:t>Three Wells Fargo Center Office Building and Parking Garage, Charlotte, North Carolina</w:t>
      </w:r>
    </w:p>
    <w:p w14:paraId="56C374F7" w14:textId="77777777" w:rsidR="007E4CB6" w:rsidRDefault="007E4CB6" w:rsidP="007E4CB6">
      <w:pPr>
        <w:spacing w:after="0" w:line="240" w:lineRule="auto"/>
        <w:ind w:left="720"/>
        <w:rPr>
          <w:rFonts w:eastAsia="Times New Roman" w:cstheme="minorHAnsi"/>
        </w:rPr>
      </w:pPr>
      <w:r w:rsidRPr="00152034">
        <w:rPr>
          <w:rFonts w:eastAsia="Times New Roman" w:cstheme="minorHAnsi"/>
        </w:rPr>
        <w:t>40-story, 1.3 million sq. ft. reinforced concrete building; 4 above and 4 below ground parking levels</w:t>
      </w:r>
    </w:p>
    <w:p w14:paraId="236AF9DB" w14:textId="77777777" w:rsidR="007E4CB6" w:rsidRPr="00152034" w:rsidRDefault="007E4CB6" w:rsidP="007E4CB6">
      <w:pPr>
        <w:numPr>
          <w:ilvl w:val="0"/>
          <w:numId w:val="3"/>
        </w:numPr>
        <w:spacing w:after="0" w:line="240" w:lineRule="auto"/>
        <w:rPr>
          <w:rFonts w:eastAsia="Times New Roman" w:cstheme="minorHAnsi"/>
        </w:rPr>
      </w:pPr>
      <w:r w:rsidRPr="00152034">
        <w:rPr>
          <w:rFonts w:eastAsia="Times New Roman" w:cstheme="minorHAnsi"/>
          <w:b/>
        </w:rPr>
        <w:lastRenderedPageBreak/>
        <w:t>Turner Chapel AME Cathedral, Marietta, Georgia</w:t>
      </w:r>
    </w:p>
    <w:p w14:paraId="59FFFD08"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3,000 seat auditorium, 95,000 sq. ft. church</w:t>
      </w:r>
    </w:p>
    <w:p w14:paraId="4C9AF7C5" w14:textId="77777777" w:rsidR="007E4CB6" w:rsidRPr="00152034" w:rsidRDefault="007E4CB6" w:rsidP="007E4CB6">
      <w:pPr>
        <w:numPr>
          <w:ilvl w:val="0"/>
          <w:numId w:val="3"/>
        </w:numPr>
        <w:spacing w:after="0" w:line="240" w:lineRule="auto"/>
        <w:rPr>
          <w:rFonts w:eastAsia="Times New Roman" w:cstheme="minorHAnsi"/>
          <w:b/>
        </w:rPr>
      </w:pPr>
      <w:r w:rsidRPr="00152034">
        <w:rPr>
          <w:rFonts w:eastAsia="Times New Roman" w:cstheme="minorHAnsi"/>
          <w:b/>
        </w:rPr>
        <w:t>B-52 Two-bay Fuel Cell Maintenance Hangar, Barksdale AFB, Shreveport, Louisiana</w:t>
      </w:r>
    </w:p>
    <w:p w14:paraId="70200E90"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60,000 sq. ft. structural steel hangar for two B-52 bombers</w:t>
      </w:r>
    </w:p>
    <w:p w14:paraId="18DBADE4" w14:textId="77777777" w:rsidR="007E4CB6" w:rsidRPr="00152034" w:rsidRDefault="007E4CB6" w:rsidP="007E4CB6">
      <w:pPr>
        <w:numPr>
          <w:ilvl w:val="0"/>
          <w:numId w:val="3"/>
        </w:numPr>
        <w:spacing w:after="0" w:line="240" w:lineRule="auto"/>
        <w:rPr>
          <w:rFonts w:eastAsia="Times New Roman" w:cstheme="minorHAnsi"/>
          <w:b/>
        </w:rPr>
      </w:pPr>
      <w:r w:rsidRPr="00152034">
        <w:rPr>
          <w:rFonts w:eastAsia="Times New Roman" w:cstheme="minorHAnsi"/>
          <w:b/>
        </w:rPr>
        <w:t>Centers for Disease Control and Prevention Laboratory Building 110, Atlanta, Georgia</w:t>
      </w:r>
    </w:p>
    <w:p w14:paraId="3EAAB5CE"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5-story reinforced concrete laboratory building with concrete interstitial floors designed to prevent progressive collapse in the event of a terrorist attack</w:t>
      </w:r>
    </w:p>
    <w:p w14:paraId="360D7F98" w14:textId="77777777" w:rsidR="007E4CB6" w:rsidRPr="00152034" w:rsidRDefault="007E4CB6" w:rsidP="007E4CB6">
      <w:pPr>
        <w:numPr>
          <w:ilvl w:val="0"/>
          <w:numId w:val="3"/>
        </w:numPr>
        <w:spacing w:after="0" w:line="240" w:lineRule="auto"/>
        <w:rPr>
          <w:rFonts w:eastAsia="Times New Roman" w:cstheme="minorHAnsi"/>
          <w:b/>
        </w:rPr>
      </w:pPr>
      <w:r w:rsidRPr="00152034">
        <w:rPr>
          <w:rFonts w:eastAsia="Times New Roman" w:cstheme="minorHAnsi"/>
          <w:b/>
        </w:rPr>
        <w:t>Centers for Disease Control and Prevention, Central Energy Plant, Atlanta, Georgia</w:t>
      </w:r>
    </w:p>
    <w:p w14:paraId="3EE4C94E" w14:textId="77777777" w:rsidR="007E4CB6" w:rsidRPr="00152034" w:rsidRDefault="007E4CB6" w:rsidP="007E4CB6">
      <w:pPr>
        <w:spacing w:after="0" w:line="240" w:lineRule="auto"/>
        <w:ind w:left="720"/>
        <w:rPr>
          <w:rFonts w:eastAsia="Times New Roman" w:cstheme="minorHAnsi"/>
          <w:bCs/>
        </w:rPr>
      </w:pPr>
      <w:r w:rsidRPr="00152034">
        <w:rPr>
          <w:rFonts w:eastAsia="Times New Roman" w:cstheme="minorHAnsi"/>
          <w:bCs/>
        </w:rPr>
        <w:t>Two-story plant</w:t>
      </w:r>
      <w:r>
        <w:rPr>
          <w:rFonts w:eastAsia="Times New Roman" w:cstheme="minorHAnsi"/>
          <w:bCs/>
        </w:rPr>
        <w:t xml:space="preserve"> and Utility Tunnel</w:t>
      </w:r>
      <w:r w:rsidRPr="00152034">
        <w:rPr>
          <w:rFonts w:eastAsia="Times New Roman" w:cstheme="minorHAnsi"/>
          <w:bCs/>
        </w:rPr>
        <w:t xml:space="preserve"> to supply energy and utilities to the Chamblee CDC Campus</w:t>
      </w:r>
    </w:p>
    <w:p w14:paraId="6A0B7C11" w14:textId="77777777" w:rsidR="007E4CB6" w:rsidRPr="00152034" w:rsidRDefault="007E4CB6" w:rsidP="007E4CB6">
      <w:pPr>
        <w:numPr>
          <w:ilvl w:val="0"/>
          <w:numId w:val="3"/>
        </w:numPr>
        <w:spacing w:after="0" w:line="240" w:lineRule="auto"/>
        <w:rPr>
          <w:rFonts w:eastAsia="Times New Roman" w:cstheme="minorHAnsi"/>
        </w:rPr>
      </w:pPr>
      <w:r w:rsidRPr="00152034">
        <w:rPr>
          <w:rFonts w:eastAsia="Times New Roman" w:cstheme="minorHAnsi"/>
          <w:b/>
        </w:rPr>
        <w:t>Columbus Public Library, Columbus, Georgia</w:t>
      </w:r>
      <w:r w:rsidRPr="00152034">
        <w:rPr>
          <w:rFonts w:eastAsia="Times New Roman" w:cstheme="minorHAnsi"/>
        </w:rPr>
        <w:br/>
        <w:t>3-story, 100,000 sq. ft. structural steel Library with Robert A.M. Stern Architects </w:t>
      </w:r>
    </w:p>
    <w:p w14:paraId="55A383FF" w14:textId="77777777" w:rsidR="007E4CB6" w:rsidRPr="00152034" w:rsidRDefault="007E4CB6" w:rsidP="007E4CB6">
      <w:pPr>
        <w:numPr>
          <w:ilvl w:val="0"/>
          <w:numId w:val="3"/>
        </w:numPr>
        <w:spacing w:after="0" w:line="240" w:lineRule="auto"/>
        <w:rPr>
          <w:rFonts w:eastAsia="Times New Roman" w:cstheme="minorHAnsi"/>
        </w:rPr>
      </w:pPr>
      <w:r w:rsidRPr="00152034">
        <w:rPr>
          <w:rFonts w:eastAsia="Times New Roman" w:cstheme="minorHAnsi"/>
          <w:b/>
        </w:rPr>
        <w:t>Schwartz Center for the Performing Arts, Emory University, Atlanta, Georgia</w:t>
      </w:r>
      <w:r w:rsidRPr="00152034">
        <w:rPr>
          <w:rFonts w:eastAsia="Times New Roman" w:cstheme="minorHAnsi"/>
        </w:rPr>
        <w:br/>
        <w:t xml:space="preserve">70 ft span trusses over 800 seat concert hall </w:t>
      </w:r>
      <w:r>
        <w:rPr>
          <w:rFonts w:eastAsia="Times New Roman" w:cstheme="minorHAnsi"/>
        </w:rPr>
        <w:t xml:space="preserve">with </w:t>
      </w:r>
      <w:r w:rsidRPr="00152034">
        <w:rPr>
          <w:rFonts w:eastAsia="Times New Roman" w:cstheme="minorHAnsi"/>
        </w:rPr>
        <w:t xml:space="preserve">500 tons of acoustical, pre-cast concrete </w:t>
      </w:r>
    </w:p>
    <w:p w14:paraId="7D0BB615" w14:textId="77777777" w:rsidR="007E4CB6" w:rsidRPr="00152034" w:rsidRDefault="007E4CB6" w:rsidP="007E4CB6">
      <w:pPr>
        <w:numPr>
          <w:ilvl w:val="0"/>
          <w:numId w:val="3"/>
        </w:numPr>
        <w:spacing w:after="0" w:line="240" w:lineRule="auto"/>
        <w:rPr>
          <w:rFonts w:eastAsia="Times New Roman" w:cstheme="minorHAnsi"/>
        </w:rPr>
      </w:pPr>
      <w:r w:rsidRPr="00152034">
        <w:rPr>
          <w:rFonts w:eastAsia="Times New Roman" w:cstheme="minorHAnsi"/>
          <w:b/>
        </w:rPr>
        <w:t>Fort Valley Basketball Arena, Natatorium Complex, Fort Valley, Georgia</w:t>
      </w:r>
      <w:r w:rsidRPr="00152034">
        <w:rPr>
          <w:rFonts w:eastAsia="Times New Roman" w:cstheme="minorHAnsi"/>
        </w:rPr>
        <w:br/>
        <w:t>1400 seat basketball arena and natatorium</w:t>
      </w:r>
    </w:p>
    <w:p w14:paraId="45554BC6" w14:textId="77777777" w:rsidR="007E4CB6" w:rsidRPr="00152034" w:rsidRDefault="007E4CB6" w:rsidP="007E4CB6">
      <w:pPr>
        <w:spacing w:after="0" w:line="240" w:lineRule="auto"/>
        <w:ind w:left="360"/>
        <w:rPr>
          <w:rFonts w:eastAsia="Times New Roman" w:cstheme="minorHAnsi"/>
        </w:rPr>
      </w:pPr>
    </w:p>
    <w:p w14:paraId="7448C66A" w14:textId="77777777" w:rsidR="007E4CB6" w:rsidRPr="00152034" w:rsidRDefault="007E4CB6" w:rsidP="007E4CB6">
      <w:pPr>
        <w:spacing w:after="0" w:line="240" w:lineRule="auto"/>
        <w:rPr>
          <w:rFonts w:cstheme="minorHAnsi"/>
        </w:rPr>
      </w:pPr>
      <w:r w:rsidRPr="00152034">
        <w:rPr>
          <w:rStyle w:val="Emphasis"/>
          <w:rFonts w:cstheme="minorHAnsi"/>
          <w:b/>
        </w:rPr>
        <w:t xml:space="preserve">Brittingham and Associates, </w:t>
      </w:r>
      <w:r w:rsidRPr="00152034">
        <w:rPr>
          <w:rStyle w:val="Emphasis"/>
          <w:rFonts w:cstheme="minorHAnsi"/>
        </w:rPr>
        <w:t>Norcross, Georgia, ​1994-1996</w:t>
      </w:r>
      <w:r w:rsidRPr="00152034">
        <w:rPr>
          <w:rFonts w:cstheme="minorHAnsi"/>
        </w:rPr>
        <w:br/>
      </w:r>
      <w:r w:rsidRPr="00152034">
        <w:rPr>
          <w:rStyle w:val="Emphasis"/>
          <w:rFonts w:cstheme="minorHAnsi"/>
        </w:rPr>
        <w:t>Sr. Structural Engineer</w:t>
      </w:r>
    </w:p>
    <w:p w14:paraId="26F0C865" w14:textId="77777777" w:rsidR="007E4CB6" w:rsidRPr="00152034" w:rsidRDefault="007E4CB6" w:rsidP="007E4CB6">
      <w:pPr>
        <w:numPr>
          <w:ilvl w:val="0"/>
          <w:numId w:val="4"/>
        </w:numPr>
        <w:spacing w:after="0" w:line="240" w:lineRule="auto"/>
        <w:rPr>
          <w:rFonts w:eastAsia="Times New Roman" w:cstheme="minorHAnsi"/>
          <w:b/>
        </w:rPr>
      </w:pPr>
      <w:r w:rsidRPr="00152034">
        <w:rPr>
          <w:rFonts w:eastAsia="Times New Roman" w:cstheme="minorHAnsi"/>
          <w:b/>
        </w:rPr>
        <w:t>Beaufort Marine Air Corps Station Expansion, Beaufort, South Carolina</w:t>
      </w:r>
    </w:p>
    <w:p w14:paraId="7E449624"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Expansion of existing buildings and design of new hangars, training facilities, </w:t>
      </w:r>
      <w:proofErr w:type="spellStart"/>
      <w:r w:rsidRPr="00152034">
        <w:rPr>
          <w:rFonts w:eastAsia="Times New Roman" w:cstheme="minorHAnsi"/>
        </w:rPr>
        <w:t>washracks</w:t>
      </w:r>
      <w:proofErr w:type="spellEnd"/>
      <w:r w:rsidRPr="00152034">
        <w:rPr>
          <w:rFonts w:eastAsia="Times New Roman" w:cstheme="minorHAnsi"/>
        </w:rPr>
        <w:t xml:space="preserve"> and office facilities as part of the BRAC-III program​</w:t>
      </w:r>
    </w:p>
    <w:p w14:paraId="2840DFE9" w14:textId="77777777" w:rsidR="007E4CB6" w:rsidRPr="00152034" w:rsidRDefault="007E4CB6" w:rsidP="007E4CB6">
      <w:pPr>
        <w:numPr>
          <w:ilvl w:val="0"/>
          <w:numId w:val="4"/>
        </w:numPr>
        <w:spacing w:after="0" w:line="240" w:lineRule="auto"/>
        <w:rPr>
          <w:rFonts w:eastAsia="Times New Roman" w:cstheme="minorHAnsi"/>
          <w:b/>
        </w:rPr>
      </w:pPr>
      <w:r w:rsidRPr="00152034">
        <w:rPr>
          <w:rFonts w:eastAsia="Times New Roman" w:cstheme="minorHAnsi"/>
          <w:b/>
        </w:rPr>
        <w:t>Jacksonville NAS various buildings, Jacksonville, Florida</w:t>
      </w:r>
    </w:p>
    <w:p w14:paraId="5BDAB8CC"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Renovation of paint and maintenance hangars; expansion of existing F-16 Naval Depot</w:t>
      </w:r>
    </w:p>
    <w:p w14:paraId="70F04B10"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Investigation and renovation of various buildings</w:t>
      </w:r>
    </w:p>
    <w:p w14:paraId="4D7CA6AA" w14:textId="77777777" w:rsidR="007E4CB6" w:rsidRPr="00152034" w:rsidRDefault="007E4CB6" w:rsidP="007E4CB6">
      <w:pPr>
        <w:numPr>
          <w:ilvl w:val="0"/>
          <w:numId w:val="4"/>
        </w:numPr>
        <w:spacing w:after="0" w:line="240" w:lineRule="auto"/>
        <w:rPr>
          <w:rFonts w:eastAsia="Times New Roman" w:cstheme="minorHAnsi"/>
          <w:b/>
        </w:rPr>
      </w:pPr>
      <w:r w:rsidRPr="00152034">
        <w:rPr>
          <w:rFonts w:eastAsia="Times New Roman" w:cstheme="minorHAnsi"/>
          <w:b/>
        </w:rPr>
        <w:t>Meadowview Conference and Civic Center and Hotel, Kingsport, Tennessee</w:t>
      </w:r>
    </w:p>
    <w:p w14:paraId="4212995B" w14:textId="77777777" w:rsidR="007E4CB6" w:rsidRPr="00152034" w:rsidRDefault="007E4CB6" w:rsidP="007E4CB6">
      <w:pPr>
        <w:spacing w:after="0" w:line="240" w:lineRule="auto"/>
        <w:ind w:left="720"/>
        <w:rPr>
          <w:rFonts w:eastAsia="Times New Roman" w:cstheme="minorHAnsi"/>
        </w:rPr>
      </w:pPr>
      <w:r w:rsidRPr="00152034">
        <w:rPr>
          <w:rFonts w:eastAsia="Times New Roman" w:cstheme="minorHAnsi"/>
        </w:rPr>
        <w:t>8-story flat plate, cast-in-place concrete hotel; 400,000 sq. ft. convention and civic center</w:t>
      </w:r>
    </w:p>
    <w:p w14:paraId="5E920A7A" w14:textId="77777777" w:rsidR="007E4CB6" w:rsidRPr="00152034" w:rsidRDefault="007E4CB6" w:rsidP="007E4CB6">
      <w:pPr>
        <w:spacing w:after="0" w:line="240" w:lineRule="auto"/>
        <w:rPr>
          <w:rFonts w:cstheme="minorHAnsi"/>
        </w:rPr>
      </w:pPr>
    </w:p>
    <w:p w14:paraId="23A8E308" w14:textId="77777777" w:rsidR="007E4CB6" w:rsidRPr="003C45BE" w:rsidRDefault="007E4CB6" w:rsidP="007E4CB6">
      <w:pPr>
        <w:spacing w:after="0" w:line="240" w:lineRule="auto"/>
        <w:rPr>
          <w:i/>
          <w:iCs/>
        </w:rPr>
      </w:pPr>
      <w:r w:rsidRPr="003C45BE">
        <w:rPr>
          <w:b/>
          <w:i/>
          <w:iCs/>
        </w:rPr>
        <w:t xml:space="preserve">O'Kon and Company, </w:t>
      </w:r>
      <w:r w:rsidRPr="003C45BE">
        <w:rPr>
          <w:i/>
          <w:iCs/>
        </w:rPr>
        <w:t>Atlanta, Georgia, 1985-1994</w:t>
      </w:r>
      <w:r w:rsidRPr="003C45BE">
        <w:br/>
      </w:r>
      <w:r w:rsidRPr="003C45BE">
        <w:rPr>
          <w:i/>
          <w:iCs/>
        </w:rPr>
        <w:t>Sr. Project Engineer</w:t>
      </w:r>
    </w:p>
    <w:p w14:paraId="211A7549" w14:textId="77777777" w:rsidR="007E4CB6" w:rsidRPr="00D73F54" w:rsidRDefault="007E4CB6" w:rsidP="007E4CB6">
      <w:pPr>
        <w:numPr>
          <w:ilvl w:val="0"/>
          <w:numId w:val="5"/>
        </w:numPr>
        <w:tabs>
          <w:tab w:val="clear" w:pos="720"/>
        </w:tabs>
        <w:spacing w:after="0" w:line="240" w:lineRule="auto"/>
        <w:rPr>
          <w:bCs/>
        </w:rPr>
      </w:pPr>
      <w:r w:rsidRPr="00D73F54">
        <w:rPr>
          <w:b/>
        </w:rPr>
        <w:t xml:space="preserve">Pre-Civil War </w:t>
      </w:r>
      <w:proofErr w:type="spellStart"/>
      <w:r w:rsidRPr="00D73F54">
        <w:rPr>
          <w:b/>
        </w:rPr>
        <w:t>Woollen</w:t>
      </w:r>
      <w:proofErr w:type="spellEnd"/>
      <w:r w:rsidRPr="00D73F54">
        <w:rPr>
          <w:b/>
        </w:rPr>
        <w:t xml:space="preserve"> Mill Investigation, Atlanta, Georgia: </w:t>
      </w:r>
      <w:r w:rsidRPr="00D73F54">
        <w:rPr>
          <w:bCs/>
        </w:rPr>
        <w:t>Report for preserving Pre-Civil War structure</w:t>
      </w:r>
    </w:p>
    <w:p w14:paraId="0F124106" w14:textId="77777777" w:rsidR="007E4CB6" w:rsidRPr="003C45BE" w:rsidRDefault="007E4CB6" w:rsidP="007E4CB6">
      <w:pPr>
        <w:numPr>
          <w:ilvl w:val="0"/>
          <w:numId w:val="5"/>
        </w:numPr>
        <w:tabs>
          <w:tab w:val="clear" w:pos="720"/>
        </w:tabs>
        <w:spacing w:after="0" w:line="240" w:lineRule="auto"/>
      </w:pPr>
      <w:r w:rsidRPr="00D73F54">
        <w:rPr>
          <w:b/>
        </w:rPr>
        <w:t xml:space="preserve">Bryant-Denny Stadium, Tuscaloosa, Alabama: </w:t>
      </w:r>
      <w:r w:rsidRPr="00D73F54">
        <w:rPr>
          <w:bCs/>
        </w:rPr>
        <w:t>Forensic investigation of partial collapse during construction</w:t>
      </w:r>
    </w:p>
    <w:p w14:paraId="4A552BF1" w14:textId="77777777" w:rsidR="007E4CB6" w:rsidRPr="003C45BE" w:rsidRDefault="007E4CB6" w:rsidP="007E4CB6">
      <w:pPr>
        <w:numPr>
          <w:ilvl w:val="0"/>
          <w:numId w:val="5"/>
        </w:numPr>
        <w:tabs>
          <w:tab w:val="clear" w:pos="720"/>
        </w:tabs>
        <w:spacing w:after="0" w:line="240" w:lineRule="auto"/>
        <w:rPr>
          <w:b/>
        </w:rPr>
      </w:pPr>
      <w:r w:rsidRPr="003C45BE">
        <w:rPr>
          <w:b/>
        </w:rPr>
        <w:t>Various miscellaneous forensic investigations</w:t>
      </w:r>
    </w:p>
    <w:p w14:paraId="40838F32" w14:textId="77777777" w:rsidR="007E4CB6" w:rsidRPr="00E63E40" w:rsidRDefault="007E4CB6" w:rsidP="007E4CB6">
      <w:pPr>
        <w:numPr>
          <w:ilvl w:val="0"/>
          <w:numId w:val="5"/>
        </w:numPr>
        <w:tabs>
          <w:tab w:val="clear" w:pos="720"/>
        </w:tabs>
        <w:spacing w:after="0" w:line="240" w:lineRule="auto"/>
      </w:pPr>
      <w:r w:rsidRPr="00E63E40">
        <w:rPr>
          <w:b/>
        </w:rPr>
        <w:t>Jacksonville NAS Building, Jacksonville, Florida</w:t>
      </w:r>
    </w:p>
    <w:p w14:paraId="1219586B" w14:textId="77777777" w:rsidR="007E4CB6" w:rsidRPr="003C45BE" w:rsidRDefault="007E4CB6" w:rsidP="007E4CB6">
      <w:pPr>
        <w:spacing w:after="0" w:line="240" w:lineRule="auto"/>
        <w:ind w:left="720"/>
      </w:pPr>
      <w:r w:rsidRPr="003C45BE">
        <w:t>Investigation and report of a 1940’s building with long-span timber trusses</w:t>
      </w:r>
    </w:p>
    <w:p w14:paraId="7161BFE2" w14:textId="77777777" w:rsidR="007E4CB6" w:rsidRPr="003C45BE" w:rsidRDefault="007E4CB6" w:rsidP="007E4CB6">
      <w:pPr>
        <w:numPr>
          <w:ilvl w:val="0"/>
          <w:numId w:val="5"/>
        </w:numPr>
        <w:tabs>
          <w:tab w:val="clear" w:pos="720"/>
        </w:tabs>
        <w:spacing w:after="0" w:line="240" w:lineRule="auto"/>
        <w:rPr>
          <w:b/>
        </w:rPr>
      </w:pPr>
      <w:r w:rsidRPr="003C45BE">
        <w:rPr>
          <w:b/>
        </w:rPr>
        <w:t>Orlando International Airport, Orlando, Florida</w:t>
      </w:r>
    </w:p>
    <w:p w14:paraId="4E0B3816" w14:textId="77777777" w:rsidR="007E4CB6" w:rsidRPr="003C45BE" w:rsidRDefault="007E4CB6" w:rsidP="007E4CB6">
      <w:pPr>
        <w:spacing w:after="0" w:line="240" w:lineRule="auto"/>
        <w:ind w:left="720"/>
      </w:pPr>
      <w:r w:rsidRPr="003C45BE">
        <w:t>1.2 million sq. ft. post-tensioned parking garage; 500 room, post-tensioned flat slab hotel</w:t>
      </w:r>
    </w:p>
    <w:p w14:paraId="1F738EEB" w14:textId="77777777" w:rsidR="007E4CB6" w:rsidRPr="003C45BE" w:rsidRDefault="007E4CB6" w:rsidP="007E4CB6">
      <w:pPr>
        <w:spacing w:after="0" w:line="240" w:lineRule="auto"/>
        <w:ind w:left="720"/>
      </w:pPr>
      <w:r w:rsidRPr="003C45BE">
        <w:t>500,000 sq. ft. composite steel Flight Center/Airside Terminal for Delta Airlines</w:t>
      </w:r>
    </w:p>
    <w:p w14:paraId="2F3E8891" w14:textId="77777777" w:rsidR="007E4CB6" w:rsidRPr="00E63E40" w:rsidRDefault="007E4CB6" w:rsidP="007E4CB6">
      <w:pPr>
        <w:numPr>
          <w:ilvl w:val="0"/>
          <w:numId w:val="5"/>
        </w:numPr>
        <w:tabs>
          <w:tab w:val="clear" w:pos="720"/>
        </w:tabs>
        <w:spacing w:after="0" w:line="240" w:lineRule="auto"/>
      </w:pPr>
      <w:r w:rsidRPr="009E479F">
        <w:rPr>
          <w:b/>
        </w:rPr>
        <w:t>Resurgens Plaza, Atlanta, Georgia</w:t>
      </w:r>
    </w:p>
    <w:p w14:paraId="0D09E930" w14:textId="77777777" w:rsidR="007E4CB6" w:rsidRPr="003C45BE" w:rsidRDefault="007E4CB6" w:rsidP="007E4CB6">
      <w:pPr>
        <w:spacing w:after="0" w:line="240" w:lineRule="auto"/>
        <w:ind w:left="720"/>
      </w:pPr>
      <w:r w:rsidRPr="003C45BE">
        <w:t>30-story office building and parking garage built in Rapid Transit Rail air rights</w:t>
      </w:r>
    </w:p>
    <w:p w14:paraId="504386FE" w14:textId="77777777" w:rsidR="007E4CB6" w:rsidRPr="00152034" w:rsidRDefault="007E4CB6" w:rsidP="007E4CB6">
      <w:pPr>
        <w:spacing w:after="0" w:line="240" w:lineRule="auto"/>
        <w:rPr>
          <w:rFonts w:cstheme="minorHAnsi"/>
        </w:rPr>
      </w:pPr>
    </w:p>
    <w:p w14:paraId="499E8CB9" w14:textId="77777777" w:rsidR="007E4CB6" w:rsidRPr="00152034" w:rsidRDefault="007E4CB6" w:rsidP="007E4CB6">
      <w:pPr>
        <w:spacing w:after="0" w:line="240" w:lineRule="auto"/>
        <w:rPr>
          <w:rStyle w:val="Emphasis"/>
          <w:rFonts w:eastAsia="Times New Roman" w:cstheme="minorHAnsi"/>
          <w:i w:val="0"/>
          <w:iCs w:val="0"/>
        </w:rPr>
      </w:pPr>
      <w:r w:rsidRPr="00152034">
        <w:rPr>
          <w:rStyle w:val="Emphasis"/>
          <w:rFonts w:cstheme="minorHAnsi"/>
          <w:b/>
        </w:rPr>
        <w:t>Omrania (UK) Ltd</w:t>
      </w:r>
      <w:r w:rsidRPr="00152034">
        <w:rPr>
          <w:rStyle w:val="Emphasis"/>
          <w:rFonts w:cstheme="minorHAnsi"/>
        </w:rPr>
        <w:t>., London, United Kingdom and Riyadh, Saudi Arabia ​1982-1983</w:t>
      </w:r>
      <w:r w:rsidRPr="00152034">
        <w:rPr>
          <w:rFonts w:cstheme="minorHAnsi"/>
        </w:rPr>
        <w:br/>
      </w:r>
      <w:r w:rsidRPr="00152034">
        <w:rPr>
          <w:rStyle w:val="Emphasis"/>
          <w:rFonts w:cstheme="minorHAnsi"/>
        </w:rPr>
        <w:t>Project Engineer</w:t>
      </w:r>
    </w:p>
    <w:p w14:paraId="628975DD" w14:textId="77777777" w:rsidR="007E4CB6" w:rsidRPr="00152034" w:rsidRDefault="007E4CB6" w:rsidP="007E4CB6">
      <w:pPr>
        <w:numPr>
          <w:ilvl w:val="0"/>
          <w:numId w:val="6"/>
        </w:numPr>
        <w:spacing w:after="0" w:line="240" w:lineRule="auto"/>
        <w:ind w:right="-234"/>
        <w:rPr>
          <w:rFonts w:eastAsia="Times New Roman" w:cstheme="minorHAnsi"/>
          <w:b/>
          <w:bCs/>
        </w:rPr>
      </w:pPr>
      <w:r w:rsidRPr="00152034">
        <w:rPr>
          <w:rFonts w:eastAsia="Times New Roman" w:cstheme="minorHAnsi"/>
          <w:b/>
          <w:bCs/>
          <w:iCs/>
        </w:rPr>
        <w:t>Design of multiple Saudi Arabian projects in London office of multi-disciplinary Saudi Arabian company</w:t>
      </w:r>
    </w:p>
    <w:p w14:paraId="4E7B8543" w14:textId="77777777" w:rsidR="007E4CB6" w:rsidRPr="00152034" w:rsidRDefault="007E4CB6" w:rsidP="007E4CB6">
      <w:pPr>
        <w:spacing w:after="0" w:line="240" w:lineRule="auto"/>
        <w:rPr>
          <w:rFonts w:cstheme="minorHAnsi"/>
        </w:rPr>
      </w:pPr>
    </w:p>
    <w:p w14:paraId="73B43D58" w14:textId="77777777" w:rsidR="007E4CB6" w:rsidRPr="00152034" w:rsidRDefault="007E4CB6" w:rsidP="007E4CB6">
      <w:pPr>
        <w:spacing w:after="0" w:line="240" w:lineRule="auto"/>
        <w:rPr>
          <w:rStyle w:val="Emphasis"/>
          <w:rFonts w:cstheme="minorHAnsi"/>
        </w:rPr>
      </w:pPr>
      <w:r w:rsidRPr="00152034">
        <w:rPr>
          <w:rStyle w:val="Emphasis"/>
          <w:rFonts w:cstheme="minorHAnsi"/>
          <w:b/>
        </w:rPr>
        <w:t xml:space="preserve">Ove Arup and Partners (Now ARUP), </w:t>
      </w:r>
      <w:r w:rsidRPr="00152034">
        <w:rPr>
          <w:rStyle w:val="Emphasis"/>
          <w:rFonts w:cstheme="minorHAnsi"/>
        </w:rPr>
        <w:t>London, United Kingdom, and</w:t>
      </w:r>
      <w:r w:rsidRPr="00152034">
        <w:rPr>
          <w:rStyle w:val="apple-converted-space"/>
          <w:rFonts w:cstheme="minorHAnsi"/>
          <w:i/>
          <w:iCs/>
        </w:rPr>
        <w:t> </w:t>
      </w:r>
      <w:r w:rsidRPr="00152034">
        <w:rPr>
          <w:rStyle w:val="Emphasis"/>
          <w:rFonts w:cstheme="minorHAnsi"/>
        </w:rPr>
        <w:t>Riyadh, Saudi Arabia, ​1977-1982</w:t>
      </w:r>
      <w:r w:rsidRPr="00152034">
        <w:rPr>
          <w:rFonts w:cstheme="minorHAnsi"/>
        </w:rPr>
        <w:br/>
      </w:r>
      <w:r w:rsidRPr="00152034">
        <w:rPr>
          <w:rStyle w:val="Emphasis"/>
          <w:rFonts w:cstheme="minorHAnsi"/>
        </w:rPr>
        <w:t>Project Engineer</w:t>
      </w:r>
    </w:p>
    <w:p w14:paraId="64A24949" w14:textId="77777777" w:rsidR="007E4CB6" w:rsidRPr="00152034" w:rsidRDefault="007E4CB6" w:rsidP="007E4CB6">
      <w:pPr>
        <w:numPr>
          <w:ilvl w:val="0"/>
          <w:numId w:val="7"/>
        </w:numPr>
        <w:spacing w:after="0" w:line="240" w:lineRule="auto"/>
        <w:rPr>
          <w:rFonts w:eastAsia="Times New Roman" w:cstheme="minorHAnsi"/>
          <w:b/>
          <w:bCs/>
        </w:rPr>
      </w:pPr>
      <w:r w:rsidRPr="00152034">
        <w:rPr>
          <w:rFonts w:eastAsia="Times New Roman" w:cstheme="minorHAnsi"/>
          <w:b/>
          <w:bCs/>
        </w:rPr>
        <w:t>Hillat Al Hammad shopping center and parking garage</w:t>
      </w:r>
    </w:p>
    <w:p w14:paraId="40E25A26" w14:textId="77777777" w:rsidR="007E4CB6" w:rsidRPr="00152034" w:rsidRDefault="007E4CB6" w:rsidP="007E4CB6">
      <w:pPr>
        <w:numPr>
          <w:ilvl w:val="0"/>
          <w:numId w:val="7"/>
        </w:numPr>
        <w:spacing w:after="0" w:line="240" w:lineRule="auto"/>
        <w:rPr>
          <w:rFonts w:eastAsia="Times New Roman" w:cstheme="minorHAnsi"/>
          <w:b/>
          <w:bCs/>
        </w:rPr>
      </w:pPr>
      <w:r w:rsidRPr="00152034">
        <w:rPr>
          <w:rFonts w:eastAsia="Times New Roman" w:cstheme="minorHAnsi"/>
          <w:b/>
          <w:bCs/>
        </w:rPr>
        <w:t>Shumaisi and Al Taif hospital expansions</w:t>
      </w:r>
    </w:p>
    <w:p w14:paraId="46A93B79" w14:textId="77777777" w:rsidR="007E4CB6" w:rsidRPr="00152034" w:rsidRDefault="007E4CB6" w:rsidP="007E4CB6">
      <w:pPr>
        <w:numPr>
          <w:ilvl w:val="0"/>
          <w:numId w:val="7"/>
        </w:numPr>
        <w:spacing w:after="0" w:line="240" w:lineRule="auto"/>
        <w:rPr>
          <w:rFonts w:eastAsia="Times New Roman" w:cstheme="minorHAnsi"/>
          <w:b/>
          <w:bCs/>
        </w:rPr>
      </w:pPr>
      <w:r w:rsidRPr="00152034">
        <w:rPr>
          <w:rFonts w:eastAsia="Times New Roman" w:cstheme="minorHAnsi"/>
          <w:b/>
          <w:bCs/>
        </w:rPr>
        <w:t>Various villas and low to medium-rise office buildings and hotels</w:t>
      </w:r>
    </w:p>
    <w:p w14:paraId="0E8E1D09" w14:textId="6C83FB15" w:rsidR="00EA34C6" w:rsidRPr="007E4CB6" w:rsidRDefault="007E4CB6" w:rsidP="007E4CB6">
      <w:pPr>
        <w:numPr>
          <w:ilvl w:val="0"/>
          <w:numId w:val="7"/>
        </w:numPr>
        <w:spacing w:after="0" w:line="240" w:lineRule="auto"/>
        <w:rPr>
          <w:rFonts w:eastAsia="Times New Roman" w:cstheme="minorHAnsi"/>
          <w:b/>
          <w:bCs/>
        </w:rPr>
      </w:pPr>
      <w:r w:rsidRPr="00152034">
        <w:rPr>
          <w:rFonts w:eastAsia="Times New Roman" w:cstheme="minorHAnsi"/>
          <w:b/>
          <w:bCs/>
        </w:rPr>
        <w:t>KOCOMMAS Government Center in Riyadh, Saudi Arabia</w:t>
      </w:r>
      <w:r w:rsidRPr="00152034">
        <w:rPr>
          <w:rFonts w:eastAsia="Times New Roman" w:cstheme="minorHAnsi"/>
          <w:b/>
          <w:bCs/>
        </w:rPr>
        <w:tab/>
      </w:r>
      <w:r w:rsidRPr="00152034">
        <w:rPr>
          <w:rFonts w:eastAsia="Times New Roman" w:cstheme="minorHAnsi"/>
          <w:b/>
          <w:bCs/>
        </w:rPr>
        <w:tab/>
      </w:r>
      <w:r w:rsidRPr="00152034">
        <w:rPr>
          <w:rFonts w:eastAsia="Times New Roman" w:cstheme="minorHAnsi"/>
          <w:b/>
          <w:bCs/>
        </w:rPr>
        <w:tab/>
      </w:r>
      <w:r w:rsidRPr="00152034">
        <w:rPr>
          <w:rFonts w:eastAsia="Times New Roman" w:cstheme="minorHAnsi"/>
          <w:b/>
          <w:bCs/>
        </w:rPr>
        <w:tab/>
      </w:r>
      <w:bookmarkEnd w:id="0"/>
    </w:p>
    <w:sectPr w:rsidR="00EA34C6" w:rsidRPr="007E4CB6" w:rsidSect="0015203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152" w:right="1152" w:bottom="576" w:left="1152" w:header="34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39571" w14:textId="77777777" w:rsidR="00251BFD" w:rsidRDefault="00251BFD" w:rsidP="00D775D3">
      <w:pPr>
        <w:spacing w:after="0" w:line="240" w:lineRule="auto"/>
      </w:pPr>
      <w:r>
        <w:separator/>
      </w:r>
    </w:p>
  </w:endnote>
  <w:endnote w:type="continuationSeparator" w:id="0">
    <w:p w14:paraId="31D150A2" w14:textId="77777777" w:rsidR="00251BFD" w:rsidRDefault="00251BFD" w:rsidP="00D7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B6A7C" w14:textId="77777777" w:rsidR="003E334A" w:rsidRDefault="003E3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6552" w14:textId="0F4B7F2E" w:rsidR="00FB54E7" w:rsidRPr="00392186" w:rsidRDefault="00610402" w:rsidP="00C754ED">
    <w:pPr>
      <w:pStyle w:val="Footer"/>
      <w:ind w:left="-360" w:right="-324"/>
      <w:jc w:val="center"/>
      <w:rPr>
        <w:rFonts w:ascii="Calibri Light" w:hAnsi="Calibri Light" w:cs="Calibri Light"/>
        <w:b/>
        <w:bCs/>
        <w:sz w:val="20"/>
      </w:rPr>
    </w:pPr>
    <w:r>
      <w:rPr>
        <w:rFonts w:ascii="Calibri Light" w:eastAsia="Calibri" w:hAnsi="Calibri Light" w:cs="Calibri Light"/>
        <w:b/>
        <w:bCs/>
        <w:color w:val="202020"/>
        <w:sz w:val="20"/>
      </w:rPr>
      <w:t>HEAD of Engineering, LLC</w:t>
    </w:r>
    <w:r w:rsidRPr="00A27567">
      <w:rPr>
        <w:rFonts w:ascii="Calibri Light" w:eastAsia="Calibri" w:hAnsi="Calibri Light" w:cs="Calibri Light"/>
        <w:b/>
        <w:bCs/>
        <w:color w:val="202020"/>
        <w:sz w:val="20"/>
      </w:rPr>
      <w:t xml:space="preserve"> </w:t>
    </w:r>
    <w:r w:rsidR="00FB54E7" w:rsidRPr="00392186">
      <w:rPr>
        <w:rFonts w:ascii="Lucida Sans Unicode" w:hAnsi="Lucida Sans Unicode" w:cs="Lucida Sans Unicode"/>
        <w:b/>
        <w:bCs/>
        <w:color w:val="202020"/>
        <w:sz w:val="20"/>
      </w:rPr>
      <w:t>∣</w:t>
    </w:r>
    <w:r w:rsidR="00FB54E7" w:rsidRPr="00392186">
      <w:rPr>
        <w:rFonts w:ascii="Calibri Light" w:hAnsi="Calibri Light" w:cs="Calibri Light"/>
        <w:b/>
        <w:bCs/>
        <w:color w:val="202020"/>
        <w:sz w:val="20"/>
      </w:rPr>
      <w:t xml:space="preserve"> 885 Woodstock R</w:t>
    </w:r>
    <w:r w:rsidR="00335776" w:rsidRPr="00392186">
      <w:rPr>
        <w:rFonts w:ascii="Calibri Light" w:hAnsi="Calibri Light" w:cs="Calibri Light"/>
        <w:b/>
        <w:bCs/>
        <w:color w:val="202020"/>
        <w:sz w:val="20"/>
      </w:rPr>
      <w:t>oa</w:t>
    </w:r>
    <w:r w:rsidR="00FB54E7" w:rsidRPr="00392186">
      <w:rPr>
        <w:rFonts w:ascii="Calibri Light" w:hAnsi="Calibri Light" w:cs="Calibri Light"/>
        <w:b/>
        <w:bCs/>
        <w:color w:val="202020"/>
        <w:sz w:val="20"/>
      </w:rPr>
      <w:t xml:space="preserve">d, Suite 430-510, </w:t>
    </w:r>
    <w:r w:rsidR="00FD39B8" w:rsidRPr="00392186">
      <w:rPr>
        <w:rFonts w:ascii="Calibri Light" w:hAnsi="Calibri Light" w:cs="Calibri Light"/>
        <w:b/>
        <w:bCs/>
        <w:color w:val="202020"/>
        <w:sz w:val="20"/>
      </w:rPr>
      <w:t>Atlanta</w:t>
    </w:r>
    <w:r w:rsidR="00FB54E7" w:rsidRPr="00392186">
      <w:rPr>
        <w:rFonts w:ascii="Calibri Light" w:hAnsi="Calibri Light" w:cs="Calibri Light"/>
        <w:b/>
        <w:bCs/>
        <w:color w:val="202020"/>
        <w:sz w:val="20"/>
      </w:rPr>
      <w:t>, GA 30075</w:t>
    </w:r>
    <w:r w:rsidR="006A350B" w:rsidRPr="00392186">
      <w:rPr>
        <w:rFonts w:ascii="Calibri Light" w:hAnsi="Calibri Light" w:cs="Calibri Light"/>
        <w:b/>
        <w:bCs/>
        <w:color w:val="202020"/>
        <w:sz w:val="20"/>
      </w:rPr>
      <w:t>-2274</w:t>
    </w:r>
    <w:r w:rsidR="00FB54E7" w:rsidRPr="00392186">
      <w:rPr>
        <w:rFonts w:ascii="Calibri Light" w:hAnsi="Calibri Light" w:cs="Calibri Light"/>
        <w:b/>
        <w:bCs/>
        <w:color w:val="202020"/>
        <w:sz w:val="20"/>
      </w:rPr>
      <w:t xml:space="preserve"> </w:t>
    </w:r>
    <w:r w:rsidR="00FB54E7" w:rsidRPr="00392186">
      <w:rPr>
        <w:rFonts w:ascii="Lucida Sans Unicode" w:hAnsi="Lucida Sans Unicode" w:cs="Lucida Sans Unicode"/>
        <w:b/>
        <w:bCs/>
        <w:color w:val="202020"/>
        <w:sz w:val="20"/>
      </w:rPr>
      <w:t>∣</w:t>
    </w:r>
    <w:r w:rsidR="00FB54E7" w:rsidRPr="00392186">
      <w:rPr>
        <w:rFonts w:ascii="Calibri Light" w:hAnsi="Calibri Light" w:cs="Calibri Light"/>
        <w:b/>
        <w:bCs/>
        <w:color w:val="202020"/>
        <w:sz w:val="20"/>
      </w:rPr>
      <w:t xml:space="preserve"> 404-909-0535 </w:t>
    </w:r>
    <w:r w:rsidR="00FB54E7" w:rsidRPr="00392186">
      <w:rPr>
        <w:rFonts w:ascii="Lucida Sans Unicode" w:hAnsi="Lucida Sans Unicode" w:cs="Lucida Sans Unicode"/>
        <w:b/>
        <w:bCs/>
        <w:color w:val="202020"/>
        <w:sz w:val="20"/>
      </w:rPr>
      <w:t>∣</w:t>
    </w:r>
    <w:r w:rsidR="00FB54E7" w:rsidRPr="00392186">
      <w:rPr>
        <w:rFonts w:ascii="Calibri Light" w:hAnsi="Calibri Light" w:cs="Calibri Light"/>
        <w:b/>
        <w:bCs/>
        <w:color w:val="202020"/>
        <w:sz w:val="20"/>
      </w:rPr>
      <w:t xml:space="preserve"> www.headofeng.com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CAD9E" w14:textId="6BFB257D" w:rsidR="00FB54E7" w:rsidRPr="00392186" w:rsidRDefault="00610402" w:rsidP="00C754ED">
    <w:pPr>
      <w:pStyle w:val="Footer"/>
      <w:ind w:left="-360" w:right="-324"/>
      <w:jc w:val="center"/>
      <w:rPr>
        <w:rFonts w:ascii="Calibri Light" w:hAnsi="Calibri Light" w:cs="Calibri Light"/>
        <w:b/>
        <w:bCs/>
        <w:sz w:val="20"/>
      </w:rPr>
    </w:pPr>
    <w:r>
      <w:rPr>
        <w:rFonts w:ascii="Calibri Light" w:eastAsia="Calibri" w:hAnsi="Calibri Light" w:cs="Calibri Light"/>
        <w:b/>
        <w:bCs/>
        <w:color w:val="202020"/>
        <w:sz w:val="20"/>
      </w:rPr>
      <w:t>HEAD of Engineering, LLC</w:t>
    </w:r>
    <w:r w:rsidRPr="00A27567">
      <w:rPr>
        <w:rFonts w:ascii="Calibri Light" w:eastAsia="Calibri" w:hAnsi="Calibri Light" w:cs="Calibri Light"/>
        <w:b/>
        <w:bCs/>
        <w:color w:val="202020"/>
        <w:sz w:val="20"/>
      </w:rPr>
      <w:t xml:space="preserve"> </w:t>
    </w:r>
    <w:r w:rsidR="00F857E9" w:rsidRPr="00392186">
      <w:rPr>
        <w:rFonts w:ascii="Lucida Sans Unicode" w:hAnsi="Lucida Sans Unicode" w:cs="Lucida Sans Unicode"/>
        <w:b/>
        <w:bCs/>
        <w:color w:val="202020"/>
        <w:sz w:val="20"/>
      </w:rPr>
      <w:t>∣</w:t>
    </w:r>
    <w:r w:rsidR="00F857E9" w:rsidRPr="00392186">
      <w:rPr>
        <w:rFonts w:ascii="Calibri Light" w:hAnsi="Calibri Light" w:cs="Calibri Light"/>
        <w:b/>
        <w:bCs/>
        <w:color w:val="202020"/>
        <w:sz w:val="20"/>
      </w:rPr>
      <w:t xml:space="preserve"> 885 Woodstock R</w:t>
    </w:r>
    <w:r w:rsidR="00335776" w:rsidRPr="00392186">
      <w:rPr>
        <w:rFonts w:ascii="Calibri Light" w:hAnsi="Calibri Light" w:cs="Calibri Light"/>
        <w:b/>
        <w:bCs/>
        <w:color w:val="202020"/>
        <w:sz w:val="20"/>
      </w:rPr>
      <w:t>oa</w:t>
    </w:r>
    <w:r w:rsidR="00F857E9" w:rsidRPr="00392186">
      <w:rPr>
        <w:rFonts w:ascii="Calibri Light" w:hAnsi="Calibri Light" w:cs="Calibri Light"/>
        <w:b/>
        <w:bCs/>
        <w:color w:val="202020"/>
        <w:sz w:val="20"/>
      </w:rPr>
      <w:t xml:space="preserve">d, Suite 430-510, </w:t>
    </w:r>
    <w:r w:rsidR="00FD39B8" w:rsidRPr="00392186">
      <w:rPr>
        <w:rFonts w:ascii="Calibri Light" w:hAnsi="Calibri Light" w:cs="Calibri Light"/>
        <w:b/>
        <w:bCs/>
        <w:color w:val="202020"/>
        <w:sz w:val="20"/>
      </w:rPr>
      <w:t>Atlanta</w:t>
    </w:r>
    <w:r w:rsidR="00F857E9" w:rsidRPr="00392186">
      <w:rPr>
        <w:rFonts w:ascii="Calibri Light" w:hAnsi="Calibri Light" w:cs="Calibri Light"/>
        <w:b/>
        <w:bCs/>
        <w:color w:val="202020"/>
        <w:sz w:val="20"/>
      </w:rPr>
      <w:t>, GA 30075</w:t>
    </w:r>
    <w:r w:rsidR="006A350B" w:rsidRPr="00392186">
      <w:rPr>
        <w:rFonts w:ascii="Calibri Light" w:hAnsi="Calibri Light" w:cs="Calibri Light"/>
        <w:b/>
        <w:bCs/>
        <w:color w:val="202020"/>
        <w:sz w:val="20"/>
      </w:rPr>
      <w:t>-2274</w:t>
    </w:r>
    <w:r w:rsidR="00F857E9" w:rsidRPr="00392186">
      <w:rPr>
        <w:rFonts w:ascii="Calibri Light" w:hAnsi="Calibri Light" w:cs="Calibri Light"/>
        <w:b/>
        <w:bCs/>
        <w:color w:val="202020"/>
        <w:sz w:val="20"/>
      </w:rPr>
      <w:t xml:space="preserve"> </w:t>
    </w:r>
    <w:r w:rsidR="00F857E9" w:rsidRPr="00392186">
      <w:rPr>
        <w:rFonts w:ascii="Lucida Sans Unicode" w:hAnsi="Lucida Sans Unicode" w:cs="Lucida Sans Unicode"/>
        <w:b/>
        <w:bCs/>
        <w:color w:val="202020"/>
        <w:sz w:val="20"/>
      </w:rPr>
      <w:t>∣</w:t>
    </w:r>
    <w:r w:rsidR="00F857E9" w:rsidRPr="00392186">
      <w:rPr>
        <w:rFonts w:ascii="Calibri Light" w:hAnsi="Calibri Light" w:cs="Calibri Light"/>
        <w:b/>
        <w:bCs/>
        <w:color w:val="202020"/>
        <w:sz w:val="20"/>
      </w:rPr>
      <w:t xml:space="preserve"> 404-909-0535 </w:t>
    </w:r>
    <w:r w:rsidR="00F857E9" w:rsidRPr="00392186">
      <w:rPr>
        <w:rFonts w:ascii="Lucida Sans Unicode" w:hAnsi="Lucida Sans Unicode" w:cs="Lucida Sans Unicode"/>
        <w:b/>
        <w:bCs/>
        <w:color w:val="202020"/>
        <w:sz w:val="20"/>
      </w:rPr>
      <w:t>∣</w:t>
    </w:r>
    <w:r w:rsidR="00F857E9" w:rsidRPr="00392186">
      <w:rPr>
        <w:rFonts w:ascii="Calibri Light" w:hAnsi="Calibri Light" w:cs="Calibri Light"/>
        <w:b/>
        <w:bCs/>
        <w:color w:val="202020"/>
        <w:sz w:val="20"/>
      </w:rPr>
      <w:t xml:space="preserve"> www.headofeng.com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12837" w14:textId="77777777" w:rsidR="00251BFD" w:rsidRDefault="00251BFD" w:rsidP="00D775D3">
      <w:pPr>
        <w:spacing w:after="0" w:line="240" w:lineRule="auto"/>
      </w:pPr>
      <w:r>
        <w:separator/>
      </w:r>
    </w:p>
  </w:footnote>
  <w:footnote w:type="continuationSeparator" w:id="0">
    <w:p w14:paraId="0E41B817" w14:textId="77777777" w:rsidR="00251BFD" w:rsidRDefault="00251BFD" w:rsidP="00D77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91B7" w14:textId="4C5543EC" w:rsidR="00E3261A" w:rsidRDefault="00E326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9A0F" w14:textId="7E1B90F8" w:rsidR="003C505B" w:rsidRPr="00392186" w:rsidRDefault="003C505B" w:rsidP="003C505B">
    <w:pPr>
      <w:pStyle w:val="Header"/>
      <w:jc w:val="right"/>
      <w:rPr>
        <w:rFonts w:ascii="Calibri" w:hAnsi="Calibri" w:cs="Calibri"/>
        <w:b/>
        <w:bCs/>
        <w:noProof/>
        <w:sz w:val="20"/>
        <w:szCs w:val="20"/>
      </w:rPr>
    </w:pPr>
    <w:r w:rsidRPr="00392186">
      <w:rPr>
        <w:rFonts w:ascii="Calibri" w:hAnsi="Calibri" w:cs="Calibri"/>
        <w:b/>
        <w:bCs/>
        <w:noProof/>
        <w:sz w:val="20"/>
        <w:szCs w:val="20"/>
      </w:rPr>
      <w:t xml:space="preserve">Michael C. Head, PE - Curriculum Vitae </w:t>
    </w:r>
  </w:p>
  <w:p w14:paraId="69F41C98" w14:textId="77777777" w:rsidR="003C505B" w:rsidRPr="00392186" w:rsidRDefault="003C505B" w:rsidP="003C505B">
    <w:pPr>
      <w:pStyle w:val="Header"/>
      <w:jc w:val="right"/>
      <w:rPr>
        <w:rFonts w:ascii="Calibri" w:hAnsi="Calibri" w:cs="Calibri"/>
        <w:b/>
        <w:bCs/>
        <w:noProof/>
        <w:sz w:val="20"/>
        <w:szCs w:val="20"/>
      </w:rPr>
    </w:pPr>
    <w:r w:rsidRPr="00392186">
      <w:rPr>
        <w:rFonts w:ascii="Calibri" w:hAnsi="Calibri" w:cs="Calibri"/>
        <w:b/>
        <w:bCs/>
        <w:noProof/>
        <w:sz w:val="20"/>
        <w:szCs w:val="20"/>
      </w:rPr>
      <w:t xml:space="preserve">Page </w:t>
    </w:r>
    <w:r w:rsidRPr="00392186">
      <w:rPr>
        <w:rFonts w:ascii="Calibri" w:hAnsi="Calibri" w:cs="Calibri"/>
        <w:b/>
        <w:bCs/>
        <w:noProof/>
        <w:sz w:val="20"/>
        <w:szCs w:val="20"/>
      </w:rPr>
      <w:fldChar w:fldCharType="begin"/>
    </w:r>
    <w:r w:rsidRPr="00392186">
      <w:rPr>
        <w:rFonts w:ascii="Calibri" w:hAnsi="Calibri" w:cs="Calibri"/>
        <w:b/>
        <w:bCs/>
        <w:noProof/>
        <w:sz w:val="20"/>
        <w:szCs w:val="20"/>
      </w:rPr>
      <w:instrText xml:space="preserve"> PAGE  \* Arabic  \* MERGEFORMAT </w:instrText>
    </w:r>
    <w:r w:rsidRPr="00392186">
      <w:rPr>
        <w:rFonts w:ascii="Calibri" w:hAnsi="Calibri" w:cs="Calibri"/>
        <w:b/>
        <w:bCs/>
        <w:noProof/>
        <w:sz w:val="20"/>
        <w:szCs w:val="20"/>
      </w:rPr>
      <w:fldChar w:fldCharType="separate"/>
    </w:r>
    <w:r w:rsidRPr="00392186">
      <w:rPr>
        <w:rFonts w:ascii="Calibri" w:hAnsi="Calibri" w:cs="Calibri"/>
        <w:b/>
        <w:bCs/>
        <w:noProof/>
        <w:sz w:val="20"/>
        <w:szCs w:val="20"/>
      </w:rPr>
      <w:t>3</w:t>
    </w:r>
    <w:r w:rsidRPr="00392186">
      <w:rPr>
        <w:rFonts w:ascii="Calibri" w:hAnsi="Calibri" w:cs="Calibri"/>
        <w:b/>
        <w:bCs/>
        <w:noProof/>
        <w:sz w:val="20"/>
        <w:szCs w:val="20"/>
      </w:rPr>
      <w:fldChar w:fldCharType="end"/>
    </w:r>
    <w:r w:rsidRPr="00392186">
      <w:rPr>
        <w:rFonts w:ascii="Calibri" w:hAnsi="Calibri" w:cs="Calibri"/>
        <w:b/>
        <w:bCs/>
        <w:noProof/>
        <w:sz w:val="20"/>
        <w:szCs w:val="20"/>
      </w:rPr>
      <w:t xml:space="preserve"> of </w:t>
    </w:r>
    <w:r w:rsidRPr="00392186">
      <w:rPr>
        <w:rFonts w:ascii="Calibri" w:hAnsi="Calibri" w:cs="Calibri"/>
        <w:b/>
        <w:bCs/>
        <w:noProof/>
        <w:sz w:val="20"/>
        <w:szCs w:val="20"/>
      </w:rPr>
      <w:fldChar w:fldCharType="begin"/>
    </w:r>
    <w:r w:rsidRPr="00392186">
      <w:rPr>
        <w:rFonts w:ascii="Calibri" w:hAnsi="Calibri" w:cs="Calibri"/>
        <w:b/>
        <w:bCs/>
        <w:noProof/>
        <w:sz w:val="20"/>
        <w:szCs w:val="20"/>
      </w:rPr>
      <w:instrText xml:space="preserve"> NUMPAGES  \* Arabic  \* MERGEFORMAT </w:instrText>
    </w:r>
    <w:r w:rsidRPr="00392186">
      <w:rPr>
        <w:rFonts w:ascii="Calibri" w:hAnsi="Calibri" w:cs="Calibri"/>
        <w:b/>
        <w:bCs/>
        <w:noProof/>
        <w:sz w:val="20"/>
        <w:szCs w:val="20"/>
      </w:rPr>
      <w:fldChar w:fldCharType="separate"/>
    </w:r>
    <w:r w:rsidRPr="00392186">
      <w:rPr>
        <w:rFonts w:ascii="Calibri" w:hAnsi="Calibri" w:cs="Calibri"/>
        <w:b/>
        <w:bCs/>
        <w:noProof/>
        <w:sz w:val="20"/>
        <w:szCs w:val="20"/>
      </w:rPr>
      <w:t>5</w:t>
    </w:r>
    <w:r w:rsidRPr="00392186">
      <w:rPr>
        <w:rFonts w:ascii="Calibri" w:hAnsi="Calibri" w:cs="Calibri"/>
        <w:b/>
        <w:bCs/>
        <w:noProof/>
        <w:sz w:val="20"/>
        <w:szCs w:val="20"/>
      </w:rPr>
      <w:fldChar w:fldCharType="end"/>
    </w:r>
  </w:p>
  <w:p w14:paraId="751E46A3" w14:textId="77777777" w:rsidR="00BD33D6" w:rsidRDefault="00BD33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1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FB54E7" w14:paraId="5E80D215" w14:textId="77777777" w:rsidTr="00392186">
      <w:tc>
        <w:tcPr>
          <w:tcW w:w="10512" w:type="dxa"/>
          <w:vAlign w:val="bottom"/>
        </w:tcPr>
        <w:p w14:paraId="336156D0" w14:textId="77777777" w:rsidR="00FB54E7" w:rsidRPr="00E3261A" w:rsidRDefault="00592E5D" w:rsidP="00321002">
          <w:pPr>
            <w:pStyle w:val="Header"/>
            <w:tabs>
              <w:tab w:val="clear" w:pos="4680"/>
              <w:tab w:val="center" w:pos="5040"/>
            </w:tabs>
            <w:spacing w:before="200" w:after="120"/>
            <w:rPr>
              <w:rFonts w:ascii="Century Gothic" w:hAnsi="Century Gothic"/>
              <w:b/>
              <w:bCs/>
              <w:sz w:val="20"/>
              <w:szCs w:val="40"/>
            </w:rPr>
          </w:pPr>
          <w:r w:rsidRPr="00E3261A">
            <w:rPr>
              <w:rFonts w:ascii="Century Gothic" w:hAnsi="Century Gothic"/>
              <w:b/>
              <w:bCs/>
              <w:sz w:val="28"/>
              <w:szCs w:val="40"/>
            </w:rPr>
            <w:t>HEAD</w:t>
          </w:r>
          <w:r w:rsidR="00FB54E7" w:rsidRPr="00E3261A">
            <w:rPr>
              <w:rFonts w:ascii="Century Gothic" w:hAnsi="Century Gothic"/>
              <w:b/>
              <w:bCs/>
              <w:sz w:val="28"/>
              <w:szCs w:val="40"/>
            </w:rPr>
            <w:t xml:space="preserve"> of Engineering, LLC                                         </w:t>
          </w:r>
        </w:p>
        <w:p w14:paraId="384C3457" w14:textId="420C3F5C" w:rsidR="00FB54E7" w:rsidRPr="00E3261A" w:rsidRDefault="00FB54E7" w:rsidP="007C0E4B">
          <w:pPr>
            <w:pStyle w:val="Header"/>
            <w:pBdr>
              <w:top w:val="single" w:sz="2" w:space="1" w:color="auto"/>
            </w:pBdr>
            <w:tabs>
              <w:tab w:val="clear" w:pos="4680"/>
              <w:tab w:val="center" w:pos="5040"/>
            </w:tabs>
            <w:ind w:right="-90"/>
            <w:rPr>
              <w:rFonts w:ascii="Calibri Light" w:hAnsi="Calibri Light" w:cs="Calibri Light"/>
              <w:b/>
              <w:bCs/>
              <w:spacing w:val="14"/>
              <w:sz w:val="19"/>
              <w:szCs w:val="19"/>
            </w:rPr>
          </w:pPr>
          <w:r w:rsidRPr="00E3261A">
            <w:rPr>
              <w:rFonts w:ascii="Calibri Light" w:hAnsi="Calibri Light" w:cs="Calibri Light"/>
              <w:b/>
              <w:bCs/>
              <w:spacing w:val="14"/>
              <w:sz w:val="19"/>
              <w:szCs w:val="19"/>
            </w:rPr>
            <w:t xml:space="preserve">Structural Engineering Consulting </w:t>
          </w:r>
          <w:r w:rsidRPr="00E3261A">
            <w:rPr>
              <w:rFonts w:ascii="Lucida Sans Unicode" w:hAnsi="Lucida Sans Unicode" w:cs="Lucida Sans Unicode"/>
              <w:b/>
              <w:bCs/>
              <w:spacing w:val="14"/>
              <w:sz w:val="19"/>
              <w:szCs w:val="19"/>
            </w:rPr>
            <w:t>∣</w:t>
          </w:r>
          <w:r w:rsidRPr="00E3261A">
            <w:rPr>
              <w:rFonts w:ascii="Calibri Light" w:hAnsi="Calibri Light" w:cs="Calibri Light"/>
              <w:b/>
              <w:bCs/>
              <w:spacing w:val="14"/>
              <w:sz w:val="19"/>
              <w:szCs w:val="19"/>
            </w:rPr>
            <w:t xml:space="preserve"> </w:t>
          </w:r>
          <w:r w:rsidR="00392186" w:rsidRPr="00E3261A">
            <w:rPr>
              <w:rFonts w:ascii="Calibri Light" w:hAnsi="Calibri Light" w:cs="Calibri Light"/>
              <w:b/>
              <w:bCs/>
              <w:spacing w:val="14"/>
              <w:sz w:val="19"/>
              <w:szCs w:val="19"/>
            </w:rPr>
            <w:t>Property Condition</w:t>
          </w:r>
          <w:r w:rsidRPr="00E3261A">
            <w:rPr>
              <w:rFonts w:ascii="Calibri Light" w:hAnsi="Calibri Light" w:cs="Calibri Light"/>
              <w:b/>
              <w:bCs/>
              <w:spacing w:val="14"/>
              <w:sz w:val="19"/>
              <w:szCs w:val="19"/>
            </w:rPr>
            <w:t xml:space="preserve"> Assessment</w:t>
          </w:r>
          <w:r w:rsidR="00EC5C9B" w:rsidRPr="00E3261A">
            <w:rPr>
              <w:rFonts w:ascii="Calibri Light" w:hAnsi="Calibri Light" w:cs="Calibri Light"/>
              <w:b/>
              <w:bCs/>
              <w:spacing w:val="14"/>
              <w:sz w:val="19"/>
              <w:szCs w:val="19"/>
            </w:rPr>
            <w:t>s</w:t>
          </w:r>
          <w:r w:rsidRPr="00E3261A">
            <w:rPr>
              <w:rFonts w:ascii="Calibri Light" w:hAnsi="Calibri Light" w:cs="Calibri Light"/>
              <w:b/>
              <w:bCs/>
              <w:spacing w:val="14"/>
              <w:sz w:val="19"/>
              <w:szCs w:val="19"/>
            </w:rPr>
            <w:t xml:space="preserve"> </w:t>
          </w:r>
          <w:r w:rsidRPr="00E3261A">
            <w:rPr>
              <w:rFonts w:ascii="Lucida Sans Unicode" w:hAnsi="Lucida Sans Unicode" w:cs="Lucida Sans Unicode"/>
              <w:b/>
              <w:bCs/>
              <w:spacing w:val="14"/>
              <w:sz w:val="19"/>
              <w:szCs w:val="19"/>
            </w:rPr>
            <w:t>∣</w:t>
          </w:r>
          <w:r w:rsidRPr="00E3261A">
            <w:rPr>
              <w:rFonts w:ascii="Calibri Light" w:hAnsi="Calibri Light" w:cs="Calibri Light"/>
              <w:b/>
              <w:bCs/>
              <w:spacing w:val="14"/>
              <w:sz w:val="19"/>
              <w:szCs w:val="19"/>
            </w:rPr>
            <w:t xml:space="preserve"> </w:t>
          </w:r>
          <w:r w:rsidR="00066F71" w:rsidRPr="00E3261A">
            <w:rPr>
              <w:rFonts w:ascii="Calibri Light" w:hAnsi="Calibri Light" w:cs="Calibri Light"/>
              <w:b/>
              <w:bCs/>
              <w:spacing w:val="14"/>
              <w:sz w:val="19"/>
              <w:szCs w:val="19"/>
            </w:rPr>
            <w:t xml:space="preserve">Construction </w:t>
          </w:r>
          <w:r w:rsidRPr="00E3261A">
            <w:rPr>
              <w:rFonts w:ascii="Calibri Light" w:hAnsi="Calibri Light" w:cs="Calibri Light"/>
              <w:b/>
              <w:bCs/>
              <w:spacing w:val="14"/>
              <w:sz w:val="19"/>
              <w:szCs w:val="19"/>
            </w:rPr>
            <w:t xml:space="preserve">Expert Witness </w:t>
          </w:r>
          <w:r w:rsidRPr="00E3261A">
            <w:rPr>
              <w:rFonts w:ascii="Century Gothic" w:hAnsi="Century Gothic"/>
              <w:b/>
              <w:bCs/>
              <w:noProof/>
              <w:spacing w:val="14"/>
              <w:sz w:val="19"/>
              <w:szCs w:val="19"/>
            </w:rPr>
            <w:drawing>
              <wp:anchor distT="0" distB="0" distL="114300" distR="114300" simplePos="0" relativeHeight="251660288" behindDoc="1" locked="0" layoutInCell="1" allowOverlap="1" wp14:anchorId="442FB850" wp14:editId="75BEA2D6">
                <wp:simplePos x="0" y="0"/>
                <wp:positionH relativeFrom="column">
                  <wp:posOffset>-723900</wp:posOffset>
                </wp:positionH>
                <wp:positionV relativeFrom="paragraph">
                  <wp:posOffset>-613410</wp:posOffset>
                </wp:positionV>
                <wp:extent cx="914400" cy="914400"/>
                <wp:effectExtent l="0" t="0" r="0" b="0"/>
                <wp:wrapTight wrapText="bothSides">
                  <wp:wrapPolygon edited="0">
                    <wp:start x="0" y="0"/>
                    <wp:lineTo x="0" y="21150"/>
                    <wp:lineTo x="21150" y="21150"/>
                    <wp:lineTo x="211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tc>
    </w:tr>
  </w:tbl>
  <w:p w14:paraId="0F085FBA" w14:textId="17705ABA" w:rsidR="00FB54E7" w:rsidRPr="00E72D2A" w:rsidRDefault="00FB54E7" w:rsidP="0032100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35403"/>
    <w:multiLevelType w:val="multilevel"/>
    <w:tmpl w:val="8C1A2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0D7E32"/>
    <w:multiLevelType w:val="hybridMultilevel"/>
    <w:tmpl w:val="5614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DD320F"/>
    <w:multiLevelType w:val="multilevel"/>
    <w:tmpl w:val="6952D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4447F5"/>
    <w:multiLevelType w:val="multilevel"/>
    <w:tmpl w:val="7A70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E7712"/>
    <w:multiLevelType w:val="hybridMultilevel"/>
    <w:tmpl w:val="7D5CA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685F08"/>
    <w:multiLevelType w:val="hybridMultilevel"/>
    <w:tmpl w:val="FDE01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545F0D"/>
    <w:multiLevelType w:val="multilevel"/>
    <w:tmpl w:val="694A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605B3"/>
    <w:multiLevelType w:val="multilevel"/>
    <w:tmpl w:val="CA4A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AC6252"/>
    <w:multiLevelType w:val="multilevel"/>
    <w:tmpl w:val="4C50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4E6CAA"/>
    <w:multiLevelType w:val="multilevel"/>
    <w:tmpl w:val="00B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A2782"/>
    <w:multiLevelType w:val="hybridMultilevel"/>
    <w:tmpl w:val="DF1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3804C1"/>
    <w:multiLevelType w:val="hybridMultilevel"/>
    <w:tmpl w:val="0C78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A90E8B"/>
    <w:multiLevelType w:val="multilevel"/>
    <w:tmpl w:val="56A6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C6DE1"/>
    <w:multiLevelType w:val="hybridMultilevel"/>
    <w:tmpl w:val="5C1ACB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0E0340D"/>
    <w:multiLevelType w:val="multilevel"/>
    <w:tmpl w:val="3B0C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1C0647"/>
    <w:multiLevelType w:val="hybridMultilevel"/>
    <w:tmpl w:val="21A8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A64B6"/>
    <w:multiLevelType w:val="hybridMultilevel"/>
    <w:tmpl w:val="C1C05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562D9F"/>
    <w:multiLevelType w:val="multilevel"/>
    <w:tmpl w:val="E684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107AF"/>
    <w:multiLevelType w:val="multilevel"/>
    <w:tmpl w:val="064C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4D2332"/>
    <w:multiLevelType w:val="hybridMultilevel"/>
    <w:tmpl w:val="C212B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AC28F4"/>
    <w:multiLevelType w:val="hybridMultilevel"/>
    <w:tmpl w:val="632A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9297865">
    <w:abstractNumId w:val="8"/>
  </w:num>
  <w:num w:numId="2" w16cid:durableId="1016464337">
    <w:abstractNumId w:val="6"/>
  </w:num>
  <w:num w:numId="3" w16cid:durableId="633876920">
    <w:abstractNumId w:val="9"/>
  </w:num>
  <w:num w:numId="4" w16cid:durableId="243076474">
    <w:abstractNumId w:val="14"/>
  </w:num>
  <w:num w:numId="5" w16cid:durableId="1482115397">
    <w:abstractNumId w:val="2"/>
  </w:num>
  <w:num w:numId="6" w16cid:durableId="2082756202">
    <w:abstractNumId w:val="17"/>
  </w:num>
  <w:num w:numId="7" w16cid:durableId="11030225">
    <w:abstractNumId w:val="12"/>
  </w:num>
  <w:num w:numId="8" w16cid:durableId="252012628">
    <w:abstractNumId w:val="19"/>
  </w:num>
  <w:num w:numId="9" w16cid:durableId="1990863886">
    <w:abstractNumId w:val="0"/>
  </w:num>
  <w:num w:numId="10" w16cid:durableId="1850756745">
    <w:abstractNumId w:val="18"/>
  </w:num>
  <w:num w:numId="11" w16cid:durableId="1259018920">
    <w:abstractNumId w:val="7"/>
  </w:num>
  <w:num w:numId="12" w16cid:durableId="2018655794">
    <w:abstractNumId w:val="15"/>
  </w:num>
  <w:num w:numId="13" w16cid:durableId="1439525672">
    <w:abstractNumId w:val="5"/>
  </w:num>
  <w:num w:numId="14" w16cid:durableId="996612627">
    <w:abstractNumId w:val="1"/>
  </w:num>
  <w:num w:numId="15" w16cid:durableId="1479496339">
    <w:abstractNumId w:val="4"/>
  </w:num>
  <w:num w:numId="16" w16cid:durableId="887691644">
    <w:abstractNumId w:val="20"/>
  </w:num>
  <w:num w:numId="17" w16cid:durableId="537622392">
    <w:abstractNumId w:val="13"/>
  </w:num>
  <w:num w:numId="18" w16cid:durableId="738946538">
    <w:abstractNumId w:val="3"/>
  </w:num>
  <w:num w:numId="19" w16cid:durableId="1766882387">
    <w:abstractNumId w:val="16"/>
  </w:num>
  <w:num w:numId="20" w16cid:durableId="329798314">
    <w:abstractNumId w:val="10"/>
  </w:num>
  <w:num w:numId="21" w16cid:durableId="1494906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13"/>
    <w:rsid w:val="00003521"/>
    <w:rsid w:val="000125AD"/>
    <w:rsid w:val="00052750"/>
    <w:rsid w:val="0006443F"/>
    <w:rsid w:val="00066D10"/>
    <w:rsid w:val="00066F71"/>
    <w:rsid w:val="0007347E"/>
    <w:rsid w:val="000D3A80"/>
    <w:rsid w:val="000D7DA9"/>
    <w:rsid w:val="000F7B40"/>
    <w:rsid w:val="001064A7"/>
    <w:rsid w:val="00126D91"/>
    <w:rsid w:val="00152034"/>
    <w:rsid w:val="00152046"/>
    <w:rsid w:val="001605E9"/>
    <w:rsid w:val="0017093E"/>
    <w:rsid w:val="001913F2"/>
    <w:rsid w:val="001B39AF"/>
    <w:rsid w:val="001C30A7"/>
    <w:rsid w:val="001E08D8"/>
    <w:rsid w:val="002200CB"/>
    <w:rsid w:val="002429EC"/>
    <w:rsid w:val="00251BFD"/>
    <w:rsid w:val="00260E39"/>
    <w:rsid w:val="002725AE"/>
    <w:rsid w:val="0028248E"/>
    <w:rsid w:val="002A3A00"/>
    <w:rsid w:val="002D1A3B"/>
    <w:rsid w:val="002F2714"/>
    <w:rsid w:val="0030099C"/>
    <w:rsid w:val="003071EC"/>
    <w:rsid w:val="003077A6"/>
    <w:rsid w:val="003117AE"/>
    <w:rsid w:val="00313E79"/>
    <w:rsid w:val="00321002"/>
    <w:rsid w:val="00335776"/>
    <w:rsid w:val="0035332D"/>
    <w:rsid w:val="00360BCB"/>
    <w:rsid w:val="00363E61"/>
    <w:rsid w:val="00366BEC"/>
    <w:rsid w:val="0037116E"/>
    <w:rsid w:val="00371C9E"/>
    <w:rsid w:val="00392186"/>
    <w:rsid w:val="003A5C58"/>
    <w:rsid w:val="003B1ADC"/>
    <w:rsid w:val="003B2C73"/>
    <w:rsid w:val="003B7450"/>
    <w:rsid w:val="003C505B"/>
    <w:rsid w:val="003D1A5C"/>
    <w:rsid w:val="003E334A"/>
    <w:rsid w:val="003F140F"/>
    <w:rsid w:val="00416320"/>
    <w:rsid w:val="00427CAE"/>
    <w:rsid w:val="004438A8"/>
    <w:rsid w:val="0045239E"/>
    <w:rsid w:val="0047058F"/>
    <w:rsid w:val="00473AC3"/>
    <w:rsid w:val="00483618"/>
    <w:rsid w:val="00486DBD"/>
    <w:rsid w:val="00496A6D"/>
    <w:rsid w:val="004B1278"/>
    <w:rsid w:val="004D5A63"/>
    <w:rsid w:val="004F5FE2"/>
    <w:rsid w:val="00520717"/>
    <w:rsid w:val="00546C2B"/>
    <w:rsid w:val="00552FC9"/>
    <w:rsid w:val="00567F2C"/>
    <w:rsid w:val="005864F0"/>
    <w:rsid w:val="00587971"/>
    <w:rsid w:val="00592765"/>
    <w:rsid w:val="00592E5D"/>
    <w:rsid w:val="005A4FAD"/>
    <w:rsid w:val="005C5934"/>
    <w:rsid w:val="005D0555"/>
    <w:rsid w:val="005E32A0"/>
    <w:rsid w:val="005E331E"/>
    <w:rsid w:val="0060249C"/>
    <w:rsid w:val="00610402"/>
    <w:rsid w:val="006165DD"/>
    <w:rsid w:val="00641242"/>
    <w:rsid w:val="00644594"/>
    <w:rsid w:val="00664490"/>
    <w:rsid w:val="006678A9"/>
    <w:rsid w:val="00682D47"/>
    <w:rsid w:val="006836B1"/>
    <w:rsid w:val="0068732F"/>
    <w:rsid w:val="00687A86"/>
    <w:rsid w:val="006A350B"/>
    <w:rsid w:val="006D181D"/>
    <w:rsid w:val="006D545E"/>
    <w:rsid w:val="006E0776"/>
    <w:rsid w:val="00716660"/>
    <w:rsid w:val="00740487"/>
    <w:rsid w:val="00770AB3"/>
    <w:rsid w:val="00771DE5"/>
    <w:rsid w:val="00777702"/>
    <w:rsid w:val="00786292"/>
    <w:rsid w:val="007B7113"/>
    <w:rsid w:val="007C0E4B"/>
    <w:rsid w:val="007D04A8"/>
    <w:rsid w:val="007D7B94"/>
    <w:rsid w:val="007E4CB6"/>
    <w:rsid w:val="00811DF6"/>
    <w:rsid w:val="00814FB8"/>
    <w:rsid w:val="00886920"/>
    <w:rsid w:val="00887CCD"/>
    <w:rsid w:val="008959CD"/>
    <w:rsid w:val="008B05B8"/>
    <w:rsid w:val="008B05C4"/>
    <w:rsid w:val="008B3841"/>
    <w:rsid w:val="008C404E"/>
    <w:rsid w:val="008C4812"/>
    <w:rsid w:val="008C5E65"/>
    <w:rsid w:val="008D15DD"/>
    <w:rsid w:val="008E4162"/>
    <w:rsid w:val="008F0117"/>
    <w:rsid w:val="008F2DC7"/>
    <w:rsid w:val="00903413"/>
    <w:rsid w:val="00912EA3"/>
    <w:rsid w:val="009136FE"/>
    <w:rsid w:val="00974719"/>
    <w:rsid w:val="00975A5E"/>
    <w:rsid w:val="009C7C62"/>
    <w:rsid w:val="009E537F"/>
    <w:rsid w:val="00A2297F"/>
    <w:rsid w:val="00A31D3B"/>
    <w:rsid w:val="00A33938"/>
    <w:rsid w:val="00A37412"/>
    <w:rsid w:val="00A43968"/>
    <w:rsid w:val="00A56389"/>
    <w:rsid w:val="00A83F9B"/>
    <w:rsid w:val="00A85DF4"/>
    <w:rsid w:val="00AA090D"/>
    <w:rsid w:val="00AF37BB"/>
    <w:rsid w:val="00B24FD0"/>
    <w:rsid w:val="00B25C9C"/>
    <w:rsid w:val="00B40727"/>
    <w:rsid w:val="00B520B8"/>
    <w:rsid w:val="00B537DE"/>
    <w:rsid w:val="00B72258"/>
    <w:rsid w:val="00B80B2E"/>
    <w:rsid w:val="00B8409E"/>
    <w:rsid w:val="00BB02EE"/>
    <w:rsid w:val="00BC4993"/>
    <w:rsid w:val="00BD0C7F"/>
    <w:rsid w:val="00BD2728"/>
    <w:rsid w:val="00BD33D6"/>
    <w:rsid w:val="00BE783D"/>
    <w:rsid w:val="00BF0A7E"/>
    <w:rsid w:val="00C01AB0"/>
    <w:rsid w:val="00C1146C"/>
    <w:rsid w:val="00C16578"/>
    <w:rsid w:val="00C16C94"/>
    <w:rsid w:val="00C412BD"/>
    <w:rsid w:val="00C41F2F"/>
    <w:rsid w:val="00C65A86"/>
    <w:rsid w:val="00C754ED"/>
    <w:rsid w:val="00C9079C"/>
    <w:rsid w:val="00C915FF"/>
    <w:rsid w:val="00CA0AED"/>
    <w:rsid w:val="00CB40AB"/>
    <w:rsid w:val="00CC649B"/>
    <w:rsid w:val="00CC7994"/>
    <w:rsid w:val="00CD5AAB"/>
    <w:rsid w:val="00CD600A"/>
    <w:rsid w:val="00CD7E7A"/>
    <w:rsid w:val="00CE2C4D"/>
    <w:rsid w:val="00D00CBB"/>
    <w:rsid w:val="00D22C7E"/>
    <w:rsid w:val="00D2627B"/>
    <w:rsid w:val="00D3647C"/>
    <w:rsid w:val="00D468D5"/>
    <w:rsid w:val="00D642DB"/>
    <w:rsid w:val="00D67F7D"/>
    <w:rsid w:val="00D775D3"/>
    <w:rsid w:val="00D82FD4"/>
    <w:rsid w:val="00D94067"/>
    <w:rsid w:val="00D941E2"/>
    <w:rsid w:val="00DA2940"/>
    <w:rsid w:val="00DB698B"/>
    <w:rsid w:val="00DB72B0"/>
    <w:rsid w:val="00DB7B86"/>
    <w:rsid w:val="00E01C6D"/>
    <w:rsid w:val="00E07A8A"/>
    <w:rsid w:val="00E302A6"/>
    <w:rsid w:val="00E3261A"/>
    <w:rsid w:val="00E3656D"/>
    <w:rsid w:val="00E525F9"/>
    <w:rsid w:val="00E72D2A"/>
    <w:rsid w:val="00E837F9"/>
    <w:rsid w:val="00EA34C6"/>
    <w:rsid w:val="00EC113A"/>
    <w:rsid w:val="00EC5304"/>
    <w:rsid w:val="00EC5C9B"/>
    <w:rsid w:val="00ED340A"/>
    <w:rsid w:val="00EE0171"/>
    <w:rsid w:val="00EE1E8C"/>
    <w:rsid w:val="00EF0BA8"/>
    <w:rsid w:val="00F0170C"/>
    <w:rsid w:val="00F14547"/>
    <w:rsid w:val="00F1509F"/>
    <w:rsid w:val="00F37737"/>
    <w:rsid w:val="00F46238"/>
    <w:rsid w:val="00F52691"/>
    <w:rsid w:val="00F563C9"/>
    <w:rsid w:val="00F84231"/>
    <w:rsid w:val="00F857E9"/>
    <w:rsid w:val="00FB0A27"/>
    <w:rsid w:val="00FB49E4"/>
    <w:rsid w:val="00FB54E7"/>
    <w:rsid w:val="00FC0977"/>
    <w:rsid w:val="00FD06A9"/>
    <w:rsid w:val="00FD2CE3"/>
    <w:rsid w:val="00FD39B8"/>
    <w:rsid w:val="00FD7278"/>
    <w:rsid w:val="00FF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CD2ED"/>
  <w15:docId w15:val="{05574DED-3DC1-4DBE-9AA9-861B3618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C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B7113"/>
    <w:rPr>
      <w:i/>
      <w:iCs/>
    </w:rPr>
  </w:style>
  <w:style w:type="character" w:customStyle="1" w:styleId="apple-converted-space">
    <w:name w:val="apple-converted-space"/>
    <w:basedOn w:val="DefaultParagraphFont"/>
    <w:rsid w:val="007B7113"/>
  </w:style>
  <w:style w:type="paragraph" w:styleId="Header">
    <w:name w:val="header"/>
    <w:basedOn w:val="Normal"/>
    <w:link w:val="HeaderChar"/>
    <w:uiPriority w:val="99"/>
    <w:unhideWhenUsed/>
    <w:rsid w:val="00D775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5D3"/>
  </w:style>
  <w:style w:type="paragraph" w:styleId="Footer">
    <w:name w:val="footer"/>
    <w:basedOn w:val="Normal"/>
    <w:link w:val="FooterChar"/>
    <w:uiPriority w:val="99"/>
    <w:unhideWhenUsed/>
    <w:rsid w:val="00D775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5D3"/>
  </w:style>
  <w:style w:type="paragraph" w:styleId="BalloonText">
    <w:name w:val="Balloon Text"/>
    <w:basedOn w:val="Normal"/>
    <w:link w:val="BalloonTextChar"/>
    <w:uiPriority w:val="99"/>
    <w:semiHidden/>
    <w:unhideWhenUsed/>
    <w:rsid w:val="00CD7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E7A"/>
    <w:rPr>
      <w:rFonts w:ascii="Segoe UI" w:hAnsi="Segoe UI" w:cs="Segoe UI"/>
      <w:sz w:val="18"/>
      <w:szCs w:val="18"/>
    </w:rPr>
  </w:style>
  <w:style w:type="paragraph" w:styleId="ListParagraph">
    <w:name w:val="List Paragraph"/>
    <w:basedOn w:val="Normal"/>
    <w:uiPriority w:val="34"/>
    <w:qFormat/>
    <w:rsid w:val="000D3A80"/>
    <w:pPr>
      <w:ind w:left="720"/>
      <w:contextualSpacing/>
    </w:pPr>
  </w:style>
  <w:style w:type="character" w:styleId="Hyperlink">
    <w:name w:val="Hyperlink"/>
    <w:basedOn w:val="DefaultParagraphFont"/>
    <w:uiPriority w:val="99"/>
    <w:unhideWhenUsed/>
    <w:rsid w:val="00D2627B"/>
    <w:rPr>
      <w:color w:val="0563C1" w:themeColor="hyperlink"/>
      <w:u w:val="single"/>
    </w:rPr>
  </w:style>
  <w:style w:type="character" w:styleId="Strong">
    <w:name w:val="Strong"/>
    <w:basedOn w:val="DefaultParagraphFont"/>
    <w:uiPriority w:val="22"/>
    <w:qFormat/>
    <w:rsid w:val="00E837F9"/>
    <w:rPr>
      <w:b/>
      <w:bCs/>
    </w:rPr>
  </w:style>
  <w:style w:type="table" w:styleId="TableGrid">
    <w:name w:val="Table Grid"/>
    <w:basedOn w:val="TableNormal"/>
    <w:uiPriority w:val="39"/>
    <w:rsid w:val="009C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97302">
      <w:bodyDiv w:val="1"/>
      <w:marLeft w:val="0"/>
      <w:marRight w:val="0"/>
      <w:marTop w:val="0"/>
      <w:marBottom w:val="0"/>
      <w:divBdr>
        <w:top w:val="none" w:sz="0" w:space="0" w:color="auto"/>
        <w:left w:val="none" w:sz="0" w:space="0" w:color="auto"/>
        <w:bottom w:val="none" w:sz="0" w:space="0" w:color="auto"/>
        <w:right w:val="none" w:sz="0" w:space="0" w:color="auto"/>
      </w:divBdr>
    </w:div>
    <w:div w:id="167789132">
      <w:bodyDiv w:val="1"/>
      <w:marLeft w:val="0"/>
      <w:marRight w:val="0"/>
      <w:marTop w:val="0"/>
      <w:marBottom w:val="0"/>
      <w:divBdr>
        <w:top w:val="none" w:sz="0" w:space="0" w:color="auto"/>
        <w:left w:val="none" w:sz="0" w:space="0" w:color="auto"/>
        <w:bottom w:val="none" w:sz="0" w:space="0" w:color="auto"/>
        <w:right w:val="none" w:sz="0" w:space="0" w:color="auto"/>
      </w:divBdr>
    </w:div>
    <w:div w:id="224489569">
      <w:bodyDiv w:val="1"/>
      <w:marLeft w:val="0"/>
      <w:marRight w:val="0"/>
      <w:marTop w:val="0"/>
      <w:marBottom w:val="0"/>
      <w:divBdr>
        <w:top w:val="none" w:sz="0" w:space="0" w:color="auto"/>
        <w:left w:val="none" w:sz="0" w:space="0" w:color="auto"/>
        <w:bottom w:val="none" w:sz="0" w:space="0" w:color="auto"/>
        <w:right w:val="none" w:sz="0" w:space="0" w:color="auto"/>
      </w:divBdr>
    </w:div>
    <w:div w:id="283661683">
      <w:bodyDiv w:val="1"/>
      <w:marLeft w:val="0"/>
      <w:marRight w:val="0"/>
      <w:marTop w:val="0"/>
      <w:marBottom w:val="0"/>
      <w:divBdr>
        <w:top w:val="none" w:sz="0" w:space="0" w:color="auto"/>
        <w:left w:val="none" w:sz="0" w:space="0" w:color="auto"/>
        <w:bottom w:val="none" w:sz="0" w:space="0" w:color="auto"/>
        <w:right w:val="none" w:sz="0" w:space="0" w:color="auto"/>
      </w:divBdr>
    </w:div>
    <w:div w:id="547373011">
      <w:bodyDiv w:val="1"/>
      <w:marLeft w:val="0"/>
      <w:marRight w:val="0"/>
      <w:marTop w:val="0"/>
      <w:marBottom w:val="0"/>
      <w:divBdr>
        <w:top w:val="none" w:sz="0" w:space="0" w:color="auto"/>
        <w:left w:val="none" w:sz="0" w:space="0" w:color="auto"/>
        <w:bottom w:val="none" w:sz="0" w:space="0" w:color="auto"/>
        <w:right w:val="none" w:sz="0" w:space="0" w:color="auto"/>
      </w:divBdr>
    </w:div>
    <w:div w:id="716004064">
      <w:bodyDiv w:val="1"/>
      <w:marLeft w:val="0"/>
      <w:marRight w:val="0"/>
      <w:marTop w:val="0"/>
      <w:marBottom w:val="0"/>
      <w:divBdr>
        <w:top w:val="none" w:sz="0" w:space="0" w:color="auto"/>
        <w:left w:val="none" w:sz="0" w:space="0" w:color="auto"/>
        <w:bottom w:val="none" w:sz="0" w:space="0" w:color="auto"/>
        <w:right w:val="none" w:sz="0" w:space="0" w:color="auto"/>
      </w:divBdr>
      <w:divsChild>
        <w:div w:id="846097440">
          <w:marLeft w:val="0"/>
          <w:marRight w:val="0"/>
          <w:marTop w:val="0"/>
          <w:marBottom w:val="0"/>
          <w:divBdr>
            <w:top w:val="none" w:sz="0" w:space="0" w:color="auto"/>
            <w:left w:val="none" w:sz="0" w:space="0" w:color="auto"/>
            <w:bottom w:val="none" w:sz="0" w:space="0" w:color="auto"/>
            <w:right w:val="none" w:sz="0" w:space="0" w:color="auto"/>
          </w:divBdr>
          <w:divsChild>
            <w:div w:id="1610506908">
              <w:marLeft w:val="0"/>
              <w:marRight w:val="0"/>
              <w:marTop w:val="0"/>
              <w:marBottom w:val="0"/>
              <w:divBdr>
                <w:top w:val="none" w:sz="0" w:space="0" w:color="auto"/>
                <w:left w:val="none" w:sz="0" w:space="0" w:color="auto"/>
                <w:bottom w:val="none" w:sz="0" w:space="0" w:color="auto"/>
                <w:right w:val="none" w:sz="0" w:space="0" w:color="auto"/>
              </w:divBdr>
              <w:divsChild>
                <w:div w:id="553006039">
                  <w:marLeft w:val="0"/>
                  <w:marRight w:val="0"/>
                  <w:marTop w:val="0"/>
                  <w:marBottom w:val="0"/>
                  <w:divBdr>
                    <w:top w:val="none" w:sz="0" w:space="0" w:color="auto"/>
                    <w:left w:val="none" w:sz="0" w:space="0" w:color="auto"/>
                    <w:bottom w:val="none" w:sz="0" w:space="0" w:color="auto"/>
                    <w:right w:val="none" w:sz="0" w:space="0" w:color="auto"/>
                  </w:divBdr>
                  <w:divsChild>
                    <w:div w:id="528687454">
                      <w:marLeft w:val="0"/>
                      <w:marRight w:val="0"/>
                      <w:marTop w:val="0"/>
                      <w:marBottom w:val="0"/>
                      <w:divBdr>
                        <w:top w:val="none" w:sz="0" w:space="0" w:color="auto"/>
                        <w:left w:val="none" w:sz="0" w:space="0" w:color="auto"/>
                        <w:bottom w:val="none" w:sz="0" w:space="0" w:color="auto"/>
                        <w:right w:val="none" w:sz="0" w:space="0" w:color="auto"/>
                      </w:divBdr>
                      <w:divsChild>
                        <w:div w:id="228855890">
                          <w:marLeft w:val="0"/>
                          <w:marRight w:val="0"/>
                          <w:marTop w:val="0"/>
                          <w:marBottom w:val="0"/>
                          <w:divBdr>
                            <w:top w:val="none" w:sz="0" w:space="0" w:color="auto"/>
                            <w:left w:val="none" w:sz="0" w:space="0" w:color="auto"/>
                            <w:bottom w:val="none" w:sz="0" w:space="0" w:color="auto"/>
                            <w:right w:val="none" w:sz="0" w:space="0" w:color="auto"/>
                          </w:divBdr>
                          <w:divsChild>
                            <w:div w:id="1092624914">
                              <w:marLeft w:val="0"/>
                              <w:marRight w:val="0"/>
                              <w:marTop w:val="0"/>
                              <w:marBottom w:val="0"/>
                              <w:divBdr>
                                <w:top w:val="none" w:sz="0" w:space="0" w:color="auto"/>
                                <w:left w:val="none" w:sz="0" w:space="0" w:color="auto"/>
                                <w:bottom w:val="none" w:sz="0" w:space="0" w:color="auto"/>
                                <w:right w:val="none" w:sz="0" w:space="0" w:color="auto"/>
                              </w:divBdr>
                              <w:divsChild>
                                <w:div w:id="70976494">
                                  <w:marLeft w:val="0"/>
                                  <w:marRight w:val="0"/>
                                  <w:marTop w:val="0"/>
                                  <w:marBottom w:val="0"/>
                                  <w:divBdr>
                                    <w:top w:val="none" w:sz="0" w:space="0" w:color="auto"/>
                                    <w:left w:val="none" w:sz="0" w:space="0" w:color="auto"/>
                                    <w:bottom w:val="none" w:sz="0" w:space="0" w:color="auto"/>
                                    <w:right w:val="none" w:sz="0" w:space="0" w:color="auto"/>
                                  </w:divBdr>
                                  <w:divsChild>
                                    <w:div w:id="1393694054">
                                      <w:marLeft w:val="0"/>
                                      <w:marRight w:val="0"/>
                                      <w:marTop w:val="0"/>
                                      <w:marBottom w:val="0"/>
                                      <w:divBdr>
                                        <w:top w:val="none" w:sz="0" w:space="0" w:color="auto"/>
                                        <w:left w:val="none" w:sz="0" w:space="0" w:color="auto"/>
                                        <w:bottom w:val="none" w:sz="0" w:space="0" w:color="auto"/>
                                        <w:right w:val="none" w:sz="0" w:space="0" w:color="auto"/>
                                      </w:divBdr>
                                      <w:divsChild>
                                        <w:div w:id="107815473">
                                          <w:marLeft w:val="-150"/>
                                          <w:marRight w:val="-150"/>
                                          <w:marTop w:val="0"/>
                                          <w:marBottom w:val="0"/>
                                          <w:divBdr>
                                            <w:top w:val="none" w:sz="0" w:space="0" w:color="auto"/>
                                            <w:left w:val="none" w:sz="0" w:space="0" w:color="auto"/>
                                            <w:bottom w:val="none" w:sz="0" w:space="0" w:color="auto"/>
                                            <w:right w:val="none" w:sz="0" w:space="0" w:color="auto"/>
                                          </w:divBdr>
                                          <w:divsChild>
                                            <w:div w:id="8906572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076715">
      <w:bodyDiv w:val="1"/>
      <w:marLeft w:val="0"/>
      <w:marRight w:val="0"/>
      <w:marTop w:val="0"/>
      <w:marBottom w:val="0"/>
      <w:divBdr>
        <w:top w:val="none" w:sz="0" w:space="0" w:color="auto"/>
        <w:left w:val="none" w:sz="0" w:space="0" w:color="auto"/>
        <w:bottom w:val="none" w:sz="0" w:space="0" w:color="auto"/>
        <w:right w:val="none" w:sz="0" w:space="0" w:color="auto"/>
      </w:divBdr>
    </w:div>
    <w:div w:id="1268269419">
      <w:bodyDiv w:val="1"/>
      <w:marLeft w:val="0"/>
      <w:marRight w:val="0"/>
      <w:marTop w:val="0"/>
      <w:marBottom w:val="0"/>
      <w:divBdr>
        <w:top w:val="none" w:sz="0" w:space="0" w:color="auto"/>
        <w:left w:val="none" w:sz="0" w:space="0" w:color="auto"/>
        <w:bottom w:val="none" w:sz="0" w:space="0" w:color="auto"/>
        <w:right w:val="none" w:sz="0" w:space="0" w:color="auto"/>
      </w:divBdr>
    </w:div>
    <w:div w:id="1378704379">
      <w:bodyDiv w:val="1"/>
      <w:marLeft w:val="0"/>
      <w:marRight w:val="0"/>
      <w:marTop w:val="0"/>
      <w:marBottom w:val="0"/>
      <w:divBdr>
        <w:top w:val="none" w:sz="0" w:space="0" w:color="auto"/>
        <w:left w:val="none" w:sz="0" w:space="0" w:color="auto"/>
        <w:bottom w:val="none" w:sz="0" w:space="0" w:color="auto"/>
        <w:right w:val="none" w:sz="0" w:space="0" w:color="auto"/>
      </w:divBdr>
    </w:div>
    <w:div w:id="1383093562">
      <w:bodyDiv w:val="1"/>
      <w:marLeft w:val="0"/>
      <w:marRight w:val="0"/>
      <w:marTop w:val="0"/>
      <w:marBottom w:val="0"/>
      <w:divBdr>
        <w:top w:val="none" w:sz="0" w:space="0" w:color="auto"/>
        <w:left w:val="none" w:sz="0" w:space="0" w:color="auto"/>
        <w:bottom w:val="none" w:sz="0" w:space="0" w:color="auto"/>
        <w:right w:val="none" w:sz="0" w:space="0" w:color="auto"/>
      </w:divBdr>
    </w:div>
    <w:div w:id="13876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B768-009C-4CD1-BF5D-EB831D355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Head</dc:creator>
  <cp:lastModifiedBy>Michael Head</cp:lastModifiedBy>
  <cp:revision>6</cp:revision>
  <cp:lastPrinted>2024-07-24T20:39:00Z</cp:lastPrinted>
  <dcterms:created xsi:type="dcterms:W3CDTF">2024-07-24T00:22:00Z</dcterms:created>
  <dcterms:modified xsi:type="dcterms:W3CDTF">2024-07-29T22:22:00Z</dcterms:modified>
</cp:coreProperties>
</file>